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9FC56" w14:textId="77777777" w:rsidR="007B1C87" w:rsidRPr="007B1C87" w:rsidRDefault="007B1C87" w:rsidP="007B1C87">
      <w:pPr>
        <w:spacing w:line="276" w:lineRule="auto"/>
        <w:jc w:val="center"/>
        <w:rPr>
          <w:b/>
        </w:rPr>
      </w:pPr>
      <w:bookmarkStart w:id="0" w:name="_GoBack"/>
      <w:bookmarkEnd w:id="0"/>
      <w:r w:rsidRPr="007B1C87">
        <w:rPr>
          <w:b/>
          <w:noProof/>
          <w:szCs w:val="16"/>
          <w:lang w:val="es-ES_tradnl"/>
        </w:rPr>
        <w:t>Tabla 1. Definición parámetros densidad residencial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2223"/>
        <w:gridCol w:w="1087"/>
        <w:gridCol w:w="3946"/>
      </w:tblGrid>
      <w:tr w:rsidR="007B1C87" w:rsidRPr="00650671" w14:paraId="4E4B1A94" w14:textId="77777777" w:rsidTr="00384717">
        <w:trPr>
          <w:jc w:val="center"/>
        </w:trPr>
        <w:tc>
          <w:tcPr>
            <w:tcW w:w="1598" w:type="dxa"/>
          </w:tcPr>
          <w:p w14:paraId="0D52493C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b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b/>
                <w:noProof/>
                <w:sz w:val="18"/>
                <w:szCs w:val="16"/>
                <w:lang w:val="es-ES_tradnl"/>
              </w:rPr>
              <w:t>Parámetro</w:t>
            </w:r>
          </w:p>
        </w:tc>
        <w:tc>
          <w:tcPr>
            <w:tcW w:w="2410" w:type="dxa"/>
          </w:tcPr>
          <w:p w14:paraId="28D03C0B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b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b/>
                <w:noProof/>
                <w:sz w:val="18"/>
                <w:szCs w:val="16"/>
                <w:lang w:val="es-ES_tradnl"/>
              </w:rPr>
              <w:t>Fórmula de cálculo</w:t>
            </w:r>
          </w:p>
        </w:tc>
        <w:tc>
          <w:tcPr>
            <w:tcW w:w="942" w:type="dxa"/>
          </w:tcPr>
          <w:p w14:paraId="579C4324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b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b/>
                <w:noProof/>
                <w:sz w:val="18"/>
                <w:szCs w:val="16"/>
                <w:lang w:val="es-ES_tradnl"/>
              </w:rPr>
              <w:t>Escala</w:t>
            </w:r>
          </w:p>
        </w:tc>
        <w:tc>
          <w:tcPr>
            <w:tcW w:w="4907" w:type="dxa"/>
          </w:tcPr>
          <w:p w14:paraId="20C8B16B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b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b/>
                <w:noProof/>
                <w:sz w:val="18"/>
                <w:szCs w:val="16"/>
                <w:lang w:val="es-ES_tradnl"/>
              </w:rPr>
              <w:t>Descripción</w:t>
            </w:r>
          </w:p>
        </w:tc>
      </w:tr>
      <w:tr w:rsidR="007B1C87" w:rsidRPr="00650671" w14:paraId="7314D49E" w14:textId="77777777" w:rsidTr="00384717">
        <w:trPr>
          <w:jc w:val="center"/>
        </w:trPr>
        <w:tc>
          <w:tcPr>
            <w:tcW w:w="1598" w:type="dxa"/>
          </w:tcPr>
          <w:p w14:paraId="32478F43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Densidad residencial neta</w:t>
            </w:r>
          </w:p>
        </w:tc>
        <w:tc>
          <w:tcPr>
            <w:tcW w:w="2410" w:type="dxa"/>
          </w:tcPr>
          <w:p w14:paraId="7E4FBB9A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 xml:space="preserve">Viviendas/hectárea neta </w:t>
            </w:r>
          </w:p>
        </w:tc>
        <w:tc>
          <w:tcPr>
            <w:tcW w:w="942" w:type="dxa"/>
          </w:tcPr>
          <w:p w14:paraId="53DD00F9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Manzana y lote</w:t>
            </w:r>
          </w:p>
        </w:tc>
        <w:tc>
          <w:tcPr>
            <w:tcW w:w="4907" w:type="dxa"/>
          </w:tcPr>
          <w:p w14:paraId="607B3E60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 xml:space="preserve">Cantidad de viviendas por unidad de superficie. </w:t>
            </w:r>
          </w:p>
        </w:tc>
      </w:tr>
      <w:tr w:rsidR="007B1C87" w:rsidRPr="00650671" w14:paraId="12712F7B" w14:textId="77777777" w:rsidTr="00384717">
        <w:trPr>
          <w:jc w:val="center"/>
        </w:trPr>
        <w:tc>
          <w:tcPr>
            <w:tcW w:w="1598" w:type="dxa"/>
          </w:tcPr>
          <w:p w14:paraId="012DB93F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Coeficiente de constructibilidad</w:t>
            </w:r>
          </w:p>
        </w:tc>
        <w:tc>
          <w:tcPr>
            <w:tcW w:w="2410" w:type="dxa"/>
          </w:tcPr>
          <w:p w14:paraId="52286580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Superficie construida total/superficie terreno</w:t>
            </w:r>
          </w:p>
        </w:tc>
        <w:tc>
          <w:tcPr>
            <w:tcW w:w="942" w:type="dxa"/>
          </w:tcPr>
          <w:p w14:paraId="72CAC181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Manzana y lote</w:t>
            </w:r>
          </w:p>
        </w:tc>
        <w:tc>
          <w:tcPr>
            <w:tcW w:w="4907" w:type="dxa"/>
          </w:tcPr>
          <w:p w14:paraId="676E6DA5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 xml:space="preserve">Número de veces que la superficie de la manzana/lote está incluida en la superficie construida. </w:t>
            </w:r>
          </w:p>
        </w:tc>
      </w:tr>
      <w:tr w:rsidR="007B1C87" w:rsidRPr="00650671" w14:paraId="7356B2CA" w14:textId="77777777" w:rsidTr="00384717">
        <w:trPr>
          <w:jc w:val="center"/>
        </w:trPr>
        <w:tc>
          <w:tcPr>
            <w:tcW w:w="1598" w:type="dxa"/>
          </w:tcPr>
          <w:p w14:paraId="1B3741AD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Coeficiente de ocupación de suelo</w:t>
            </w:r>
          </w:p>
        </w:tc>
        <w:tc>
          <w:tcPr>
            <w:tcW w:w="2410" w:type="dxa"/>
          </w:tcPr>
          <w:p w14:paraId="31DF41F8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Superficie construida en primer piso/superficie terreno</w:t>
            </w:r>
          </w:p>
        </w:tc>
        <w:tc>
          <w:tcPr>
            <w:tcW w:w="942" w:type="dxa"/>
          </w:tcPr>
          <w:p w14:paraId="5CF2A2CE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Manzana</w:t>
            </w:r>
          </w:p>
        </w:tc>
        <w:tc>
          <w:tcPr>
            <w:tcW w:w="4907" w:type="dxa"/>
          </w:tcPr>
          <w:p w14:paraId="635C9F43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Número de veces que el nivel “0” de la manzana se encuentra ocupado por la edificación</w:t>
            </w:r>
          </w:p>
        </w:tc>
      </w:tr>
      <w:tr w:rsidR="007B1C87" w:rsidRPr="00650671" w14:paraId="6FD5554A" w14:textId="77777777" w:rsidTr="00384717">
        <w:trPr>
          <w:jc w:val="center"/>
        </w:trPr>
        <w:tc>
          <w:tcPr>
            <w:tcW w:w="1598" w:type="dxa"/>
          </w:tcPr>
          <w:p w14:paraId="6015ED56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Coeficiente uso residencial</w:t>
            </w:r>
          </w:p>
        </w:tc>
        <w:tc>
          <w:tcPr>
            <w:tcW w:w="2410" w:type="dxa"/>
          </w:tcPr>
          <w:p w14:paraId="443EE31E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(Superficie edificada uso residencial – superficie edificada otros usos) / (superficie edificada uso residencial + superficie edificada otros usos)</w:t>
            </w:r>
          </w:p>
        </w:tc>
        <w:tc>
          <w:tcPr>
            <w:tcW w:w="942" w:type="dxa"/>
          </w:tcPr>
          <w:p w14:paraId="3B9BDECC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Manzana</w:t>
            </w:r>
          </w:p>
        </w:tc>
        <w:tc>
          <w:tcPr>
            <w:tcW w:w="4907" w:type="dxa"/>
          </w:tcPr>
          <w:p w14:paraId="65BF1D56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Proporción entre el uso residencial y otros usos en términos de superficie edificada. Mientras más cerca del valor “1”, mayor es la proporción del uso residencial respecto de los otros usos. Si el valor se acerca a “-1”, otros usos se encuentran en mayor proporción.</w:t>
            </w:r>
          </w:p>
        </w:tc>
      </w:tr>
      <w:tr w:rsidR="007B1C87" w:rsidRPr="00650671" w14:paraId="68EEA0A8" w14:textId="77777777" w:rsidTr="00384717">
        <w:trPr>
          <w:jc w:val="center"/>
        </w:trPr>
        <w:tc>
          <w:tcPr>
            <w:tcW w:w="1598" w:type="dxa"/>
          </w:tcPr>
          <w:p w14:paraId="6635EB0C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Número de usos por manzana</w:t>
            </w:r>
          </w:p>
        </w:tc>
        <w:tc>
          <w:tcPr>
            <w:tcW w:w="2410" w:type="dxa"/>
          </w:tcPr>
          <w:p w14:paraId="3D870C3E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-</w:t>
            </w:r>
          </w:p>
        </w:tc>
        <w:tc>
          <w:tcPr>
            <w:tcW w:w="942" w:type="dxa"/>
          </w:tcPr>
          <w:p w14:paraId="00ED7B0C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Manzana</w:t>
            </w:r>
          </w:p>
        </w:tc>
        <w:tc>
          <w:tcPr>
            <w:tcW w:w="4907" w:type="dxa"/>
          </w:tcPr>
          <w:p w14:paraId="31962AA4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Diversidad de usos que se observan en una manzana</w:t>
            </w:r>
          </w:p>
        </w:tc>
      </w:tr>
      <w:tr w:rsidR="007B1C87" w:rsidRPr="00650671" w14:paraId="3546BDBD" w14:textId="77777777" w:rsidTr="00384717">
        <w:trPr>
          <w:trHeight w:val="414"/>
          <w:jc w:val="center"/>
        </w:trPr>
        <w:tc>
          <w:tcPr>
            <w:tcW w:w="1598" w:type="dxa"/>
          </w:tcPr>
          <w:p w14:paraId="25963286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Coeficiente de espacio abierto</w:t>
            </w:r>
          </w:p>
        </w:tc>
        <w:tc>
          <w:tcPr>
            <w:tcW w:w="2410" w:type="dxa"/>
          </w:tcPr>
          <w:p w14:paraId="0E1D069D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(1- coeficiente ocupación de suelo)/ coeficiente de constructibilidad)</w:t>
            </w:r>
          </w:p>
        </w:tc>
        <w:tc>
          <w:tcPr>
            <w:tcW w:w="942" w:type="dxa"/>
          </w:tcPr>
          <w:p w14:paraId="0A9376E7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Fragmento</w:t>
            </w:r>
          </w:p>
        </w:tc>
        <w:tc>
          <w:tcPr>
            <w:tcW w:w="4907" w:type="dxa"/>
          </w:tcPr>
          <w:p w14:paraId="5645226E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Incidencia de la edificabilidad en la espaciosidad entre edificios y entre la manzana y el espacio público. Mientras mayor es el coeficiente de espacio abierto, menor es la presión de la edificación sobre el espacio abierto.</w:t>
            </w:r>
          </w:p>
        </w:tc>
      </w:tr>
      <w:tr w:rsidR="007B1C87" w:rsidRPr="00650671" w14:paraId="2BD04848" w14:textId="77777777" w:rsidTr="00384717">
        <w:trPr>
          <w:jc w:val="center"/>
        </w:trPr>
        <w:tc>
          <w:tcPr>
            <w:tcW w:w="1598" w:type="dxa"/>
          </w:tcPr>
          <w:p w14:paraId="75E9C516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Superficie de espacio público por vivienda</w:t>
            </w:r>
          </w:p>
        </w:tc>
        <w:tc>
          <w:tcPr>
            <w:tcW w:w="2410" w:type="dxa"/>
          </w:tcPr>
          <w:p w14:paraId="243ADD7F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(Superficie bruta - superficie neta) / n</w:t>
            </w:r>
            <w:r w:rsidRPr="00650671">
              <w:rPr>
                <w:rFonts w:cs="Arial"/>
                <w:noProof/>
                <w:sz w:val="18"/>
                <w:szCs w:val="16"/>
                <w:vertAlign w:val="superscript"/>
                <w:lang w:val="es-ES_tradnl"/>
              </w:rPr>
              <w:t>o</w:t>
            </w: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 xml:space="preserve"> de viviendas</w:t>
            </w:r>
          </w:p>
        </w:tc>
        <w:tc>
          <w:tcPr>
            <w:tcW w:w="942" w:type="dxa"/>
          </w:tcPr>
          <w:p w14:paraId="01501866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Fragmento</w:t>
            </w:r>
          </w:p>
        </w:tc>
        <w:tc>
          <w:tcPr>
            <w:tcW w:w="4907" w:type="dxa"/>
          </w:tcPr>
          <w:p w14:paraId="78C4AA90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Reparto de superficie de espacio público por vivienda</w:t>
            </w:r>
          </w:p>
        </w:tc>
      </w:tr>
      <w:tr w:rsidR="007B1C87" w:rsidRPr="00650671" w14:paraId="434C38BF" w14:textId="77777777" w:rsidTr="00384717">
        <w:trPr>
          <w:jc w:val="center"/>
        </w:trPr>
        <w:tc>
          <w:tcPr>
            <w:tcW w:w="1598" w:type="dxa"/>
          </w:tcPr>
          <w:p w14:paraId="7071BBCF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Factor de segmentación del tejido urbano</w:t>
            </w:r>
          </w:p>
        </w:tc>
        <w:tc>
          <w:tcPr>
            <w:tcW w:w="2410" w:type="dxa"/>
          </w:tcPr>
          <w:p w14:paraId="563EE33E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(Porcentaje de superficie construida densificada/ Porcentaje de predios densificados)</w:t>
            </w:r>
          </w:p>
        </w:tc>
        <w:tc>
          <w:tcPr>
            <w:tcW w:w="942" w:type="dxa"/>
          </w:tcPr>
          <w:p w14:paraId="45A0A2DB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Fragmento</w:t>
            </w:r>
          </w:p>
        </w:tc>
        <w:tc>
          <w:tcPr>
            <w:tcW w:w="4907" w:type="dxa"/>
          </w:tcPr>
          <w:p w14:paraId="3E948386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Indica la participación de la superficie edificada correspondiente</w:t>
            </w:r>
          </w:p>
          <w:p w14:paraId="62868EF5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a proyectos residenciales en altura en el estado de</w:t>
            </w:r>
          </w:p>
          <w:p w14:paraId="5F2740B1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avance del proceso de densificación. Expresa el grado de incrementalidad</w:t>
            </w:r>
          </w:p>
          <w:p w14:paraId="7FE9B185" w14:textId="77777777" w:rsidR="007B1C87" w:rsidRPr="00650671" w:rsidRDefault="007B1C87" w:rsidP="00384717">
            <w:pPr>
              <w:spacing w:after="0" w:line="276" w:lineRule="auto"/>
              <w:jc w:val="center"/>
              <w:rPr>
                <w:rFonts w:cs="Arial"/>
                <w:noProof/>
                <w:sz w:val="18"/>
                <w:szCs w:val="16"/>
                <w:lang w:val="es-ES_tradnl"/>
              </w:rPr>
            </w:pP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>en el proceso de densificación. Mientras mayor es este factor, mayor la segmentación del tejido urbano.</w:t>
            </w:r>
            <w:r w:rsidRPr="00650671">
              <w:rPr>
                <w:rFonts w:cs="Arial"/>
                <w:noProof/>
                <w:sz w:val="18"/>
                <w:szCs w:val="16"/>
                <w:lang w:val="es-ES_tradnl"/>
              </w:rPr>
              <w:tab/>
            </w:r>
          </w:p>
        </w:tc>
      </w:tr>
    </w:tbl>
    <w:p w14:paraId="5E29D3EC" w14:textId="77777777" w:rsidR="00970A09" w:rsidRDefault="00970A09"/>
    <w:sectPr w:rsidR="00970A09" w:rsidSect="00297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87"/>
    <w:rsid w:val="00297B5B"/>
    <w:rsid w:val="007B1C87"/>
    <w:rsid w:val="00970A09"/>
    <w:rsid w:val="00E8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1D22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87"/>
    <w:pPr>
      <w:spacing w:after="120"/>
      <w:jc w:val="both"/>
    </w:pPr>
    <w:rPr>
      <w:rFonts w:ascii="Arial" w:hAnsi="Arial"/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1C87"/>
    <w:rPr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1763</Characters>
  <Application>Microsoft Macintosh Word</Application>
  <DocSecurity>0</DocSecurity>
  <Lines>90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 de Microsoft Office</cp:lastModifiedBy>
  <cp:revision>2</cp:revision>
  <dcterms:created xsi:type="dcterms:W3CDTF">2019-06-03T15:55:00Z</dcterms:created>
  <dcterms:modified xsi:type="dcterms:W3CDTF">2019-06-03T18:01:00Z</dcterms:modified>
  <cp:category/>
</cp:coreProperties>
</file>