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28A87" w14:textId="77777777" w:rsidR="000148E1" w:rsidRDefault="00096BA1" w:rsidP="00096BA1">
      <w:pPr>
        <w:jc w:val="center"/>
        <w:rPr>
          <w:b/>
          <w:lang w:val="es-ES"/>
        </w:rPr>
      </w:pPr>
      <w:r w:rsidRPr="00096BA1">
        <w:rPr>
          <w:b/>
          <w:lang w:val="es-ES"/>
        </w:rPr>
        <w:t>Carta respuesta a los Árbitros</w:t>
      </w:r>
    </w:p>
    <w:p w14:paraId="40D94AAA" w14:textId="77777777" w:rsidR="00096BA1" w:rsidRDefault="00096BA1" w:rsidP="00096BA1">
      <w:pPr>
        <w:jc w:val="center"/>
        <w:rPr>
          <w:b/>
          <w:lang w:val="es-ES"/>
        </w:rPr>
      </w:pPr>
    </w:p>
    <w:p w14:paraId="6B122BB4" w14:textId="77777777" w:rsidR="00096BA1" w:rsidRPr="00096BA1" w:rsidRDefault="00096BA1" w:rsidP="00096BA1">
      <w:pPr>
        <w:jc w:val="both"/>
        <w:rPr>
          <w:lang w:val="es-ES"/>
        </w:rPr>
      </w:pPr>
    </w:p>
    <w:p w14:paraId="33239153" w14:textId="77777777" w:rsidR="00096BA1" w:rsidRDefault="00096BA1" w:rsidP="00096BA1">
      <w:pPr>
        <w:jc w:val="both"/>
        <w:rPr>
          <w:lang w:val="es-ES"/>
        </w:rPr>
      </w:pPr>
      <w:r w:rsidRPr="00096BA1">
        <w:rPr>
          <w:lang w:val="es-ES"/>
        </w:rPr>
        <w:t>Estimados, junto con saludar y agradecer las observaciones y sugerencias que se detallan a continuación y el proceder de los autores:</w:t>
      </w:r>
    </w:p>
    <w:p w14:paraId="768AFD95" w14:textId="77777777" w:rsidR="007066F8" w:rsidRDefault="007066F8" w:rsidP="00096BA1">
      <w:pPr>
        <w:jc w:val="both"/>
        <w:rPr>
          <w:lang w:val="es-ES"/>
        </w:rPr>
      </w:pPr>
    </w:p>
    <w:p w14:paraId="4D2F3490" w14:textId="77777777" w:rsidR="007066F8" w:rsidRPr="0092169F" w:rsidRDefault="007066F8" w:rsidP="00096BA1">
      <w:pPr>
        <w:jc w:val="both"/>
        <w:rPr>
          <w:b/>
          <w:lang w:val="es-ES"/>
        </w:rPr>
      </w:pPr>
      <w:r w:rsidRPr="0092169F">
        <w:rPr>
          <w:b/>
          <w:lang w:val="es-ES"/>
        </w:rPr>
        <w:t>EDITOR:</w:t>
      </w:r>
    </w:p>
    <w:p w14:paraId="270066D5" w14:textId="77777777" w:rsidR="007066F8" w:rsidRPr="006941A0" w:rsidRDefault="007066F8" w:rsidP="006941A0">
      <w:pPr>
        <w:jc w:val="both"/>
        <w:rPr>
          <w:lang w:val="es-ES"/>
        </w:rPr>
      </w:pPr>
      <w:r>
        <w:rPr>
          <w:lang w:val="es-ES"/>
        </w:rPr>
        <w:t>Comentario:</w:t>
      </w:r>
      <w:r w:rsidR="006941A0">
        <w:rPr>
          <w:lang w:val="es-ES"/>
        </w:rPr>
        <w:t xml:space="preserve"> D</w:t>
      </w:r>
      <w:r w:rsidR="006941A0" w:rsidRPr="006941A0">
        <w:rPr>
          <w:lang w:val="es-ES"/>
        </w:rPr>
        <w:t>ebe incluir en su man</w:t>
      </w:r>
      <w:r w:rsidR="006941A0">
        <w:rPr>
          <w:lang w:val="es-ES"/>
        </w:rPr>
        <w:t xml:space="preserve">uscrito un subtítulo denominado </w:t>
      </w:r>
      <w:r w:rsidR="006941A0" w:rsidRPr="006941A0">
        <w:rPr>
          <w:lang w:val="es-ES"/>
        </w:rPr>
        <w:t>"Metodología" donde explica la metodología de su investigación.</w:t>
      </w:r>
    </w:p>
    <w:p w14:paraId="5575D025" w14:textId="77777777" w:rsidR="007066F8" w:rsidRDefault="007066F8" w:rsidP="00096BA1">
      <w:pPr>
        <w:jc w:val="both"/>
        <w:rPr>
          <w:lang w:val="es-ES"/>
        </w:rPr>
      </w:pPr>
    </w:p>
    <w:p w14:paraId="23BF0252" w14:textId="77777777" w:rsidR="00704988" w:rsidRPr="008B1235" w:rsidRDefault="007066F8" w:rsidP="00930A8D">
      <w:pPr>
        <w:jc w:val="both"/>
        <w:rPr>
          <w:rFonts w:ascii="Arial" w:hAnsi="Arial" w:cs="Arial"/>
          <w:color w:val="0070C0"/>
          <w:sz w:val="22"/>
          <w:szCs w:val="22"/>
        </w:rPr>
      </w:pPr>
      <w:r>
        <w:rPr>
          <w:lang w:val="es-ES"/>
        </w:rPr>
        <w:t>Respuesta de los autores:</w:t>
      </w:r>
      <w:r w:rsidR="00F552A1">
        <w:rPr>
          <w:lang w:val="es-ES"/>
        </w:rPr>
        <w:t xml:space="preserve">  </w:t>
      </w:r>
      <w:r w:rsidR="002C31D0" w:rsidRPr="008B1235">
        <w:rPr>
          <w:color w:val="0070C0"/>
          <w:lang w:val="es-ES"/>
        </w:rPr>
        <w:t>Se ha incluido el apartado de Metodología con el siguiente texto</w:t>
      </w:r>
      <w:r w:rsidR="00930A8D" w:rsidRPr="008B1235">
        <w:rPr>
          <w:color w:val="0070C0"/>
          <w:lang w:val="es-ES"/>
        </w:rPr>
        <w:t xml:space="preserve"> </w:t>
      </w:r>
    </w:p>
    <w:p w14:paraId="71C8C653" w14:textId="77777777" w:rsidR="00704988" w:rsidRDefault="00704988" w:rsidP="00704988">
      <w:pPr>
        <w:widowControl w:val="0"/>
        <w:autoSpaceDE w:val="0"/>
        <w:autoSpaceDN w:val="0"/>
        <w:adjustRightInd w:val="0"/>
        <w:spacing w:line="276" w:lineRule="auto"/>
        <w:jc w:val="both"/>
        <w:rPr>
          <w:rFonts w:ascii="Arial" w:hAnsi="Arial" w:cs="Arial"/>
          <w:b/>
          <w:sz w:val="22"/>
          <w:szCs w:val="22"/>
        </w:rPr>
      </w:pPr>
    </w:p>
    <w:p w14:paraId="3E6D4362" w14:textId="77777777" w:rsidR="002C31D0" w:rsidRPr="008B1235" w:rsidRDefault="002C31D0" w:rsidP="002C31D0">
      <w:pPr>
        <w:widowControl w:val="0"/>
        <w:autoSpaceDE w:val="0"/>
        <w:autoSpaceDN w:val="0"/>
        <w:adjustRightInd w:val="0"/>
        <w:spacing w:line="276" w:lineRule="auto"/>
        <w:jc w:val="both"/>
        <w:rPr>
          <w:rFonts w:ascii="Arial" w:hAnsi="Arial" w:cs="Arial"/>
          <w:color w:val="0070C0"/>
          <w:sz w:val="22"/>
          <w:szCs w:val="22"/>
        </w:rPr>
      </w:pPr>
      <w:r w:rsidRPr="008B1235">
        <w:rPr>
          <w:rFonts w:ascii="Arial" w:hAnsi="Arial" w:cs="Arial"/>
          <w:b/>
          <w:color w:val="0070C0"/>
          <w:sz w:val="22"/>
          <w:szCs w:val="22"/>
        </w:rPr>
        <w:t>Metodología</w:t>
      </w:r>
      <w:bookmarkStart w:id="0" w:name="_GoBack"/>
      <w:bookmarkEnd w:id="0"/>
    </w:p>
    <w:p w14:paraId="00BEC95E" w14:textId="77777777" w:rsidR="002C31D0" w:rsidRPr="008B1235" w:rsidRDefault="002C31D0" w:rsidP="002C31D0">
      <w:pPr>
        <w:widowControl w:val="0"/>
        <w:autoSpaceDE w:val="0"/>
        <w:autoSpaceDN w:val="0"/>
        <w:adjustRightInd w:val="0"/>
        <w:spacing w:line="276" w:lineRule="auto"/>
        <w:jc w:val="both"/>
        <w:rPr>
          <w:rFonts w:ascii="Arial" w:hAnsi="Arial" w:cs="Arial"/>
          <w:color w:val="0070C0"/>
          <w:sz w:val="22"/>
          <w:szCs w:val="22"/>
        </w:rPr>
      </w:pPr>
      <w:r w:rsidRPr="008B1235">
        <w:rPr>
          <w:rFonts w:ascii="Arial" w:hAnsi="Arial" w:cs="Arial"/>
          <w:color w:val="0070C0"/>
          <w:sz w:val="22"/>
          <w:szCs w:val="22"/>
        </w:rPr>
        <w:t xml:space="preserve">En el presente documento se exhibe una reflexión sobre los desafíos que el diseño objetual presenta al momento de abordar una de las problemáticas más relevantes de la actualidad: la adultez mayor. Asimismo, ofrece algunos lineamientos sobre la forma más adecuada de enfrentar dicha problemática, especialmente cuando es necesario trabajar en conjunto con otras disciplinas. </w:t>
      </w:r>
    </w:p>
    <w:p w14:paraId="323FC88E" w14:textId="77777777" w:rsidR="002C31D0" w:rsidRPr="008B1235" w:rsidRDefault="002C31D0" w:rsidP="002C31D0">
      <w:pPr>
        <w:widowControl w:val="0"/>
        <w:autoSpaceDE w:val="0"/>
        <w:autoSpaceDN w:val="0"/>
        <w:adjustRightInd w:val="0"/>
        <w:spacing w:line="276" w:lineRule="auto"/>
        <w:jc w:val="both"/>
        <w:rPr>
          <w:rFonts w:ascii="Arial" w:hAnsi="Arial" w:cs="Arial"/>
          <w:color w:val="0070C0"/>
          <w:sz w:val="22"/>
          <w:szCs w:val="22"/>
        </w:rPr>
      </w:pPr>
      <w:r w:rsidRPr="008B1235">
        <w:rPr>
          <w:rFonts w:ascii="Arial" w:hAnsi="Arial" w:cs="Arial"/>
          <w:color w:val="0070C0"/>
          <w:sz w:val="22"/>
          <w:szCs w:val="22"/>
        </w:rPr>
        <w:t>Se ha elegido a los adultos mayores como grupo objetivo, pues diseñar productos para este grupo supone una mayor complejidad en términos de considerar como los factores de envejecimiento y deterioros propios de la edad y sumados a los que se gatillan y exacerban (dolencias crónicas, enfermedades mentales, etc.) Hace que la mirada del especialista en salud y otros especialistas es clave para responder dentro de un tiempo razonable y reducir en lo posible el proceso a través de este abordaje interdisciplinar logrando mapear e identificar y generando un abordaje mancomunado para resolver problemáticas complejas que no solo deben abordar aspectos psicosociales sino la manera en que estos usuarios puedan incorporar las nuevas tecnologías para su beneficio.</w:t>
      </w:r>
    </w:p>
    <w:p w14:paraId="53FDCC46" w14:textId="77777777" w:rsidR="002C31D0" w:rsidRPr="008B1235" w:rsidRDefault="002C31D0" w:rsidP="002C31D0">
      <w:pPr>
        <w:widowControl w:val="0"/>
        <w:autoSpaceDE w:val="0"/>
        <w:autoSpaceDN w:val="0"/>
        <w:adjustRightInd w:val="0"/>
        <w:spacing w:line="276" w:lineRule="auto"/>
        <w:jc w:val="both"/>
        <w:rPr>
          <w:rFonts w:ascii="Arial" w:hAnsi="Arial" w:cs="Arial"/>
          <w:color w:val="0070C0"/>
          <w:sz w:val="22"/>
          <w:szCs w:val="22"/>
        </w:rPr>
      </w:pPr>
      <w:r w:rsidRPr="008B1235">
        <w:rPr>
          <w:rFonts w:ascii="Arial" w:hAnsi="Arial" w:cs="Arial"/>
          <w:color w:val="0070C0"/>
          <w:sz w:val="22"/>
          <w:szCs w:val="22"/>
        </w:rPr>
        <w:t>Para la realización del presente trabajo, se realizó una revisión sistemática y crítica de la literatura respecto al diseño en torno a la adultez mayor, organizando el análisis en torno ejes de discusión en el que se contraponen distintas opciones de diseño.</w:t>
      </w:r>
    </w:p>
    <w:p w14:paraId="4A9272DB" w14:textId="77777777" w:rsidR="00704988" w:rsidRDefault="00704988" w:rsidP="00096BA1">
      <w:pPr>
        <w:jc w:val="both"/>
        <w:rPr>
          <w:lang w:val="es-ES"/>
        </w:rPr>
      </w:pPr>
    </w:p>
    <w:p w14:paraId="6F4D2069" w14:textId="77777777" w:rsidR="007066F8" w:rsidRDefault="007066F8" w:rsidP="00096BA1">
      <w:pPr>
        <w:jc w:val="both"/>
        <w:rPr>
          <w:lang w:val="es-ES"/>
        </w:rPr>
      </w:pPr>
    </w:p>
    <w:p w14:paraId="7CE148B6" w14:textId="77777777" w:rsidR="007066F8" w:rsidRDefault="007066F8" w:rsidP="00096BA1">
      <w:pPr>
        <w:jc w:val="both"/>
        <w:rPr>
          <w:lang w:val="es-ES"/>
        </w:rPr>
      </w:pPr>
    </w:p>
    <w:p w14:paraId="69AF75F6" w14:textId="77777777" w:rsidR="007066F8" w:rsidRDefault="007066F8" w:rsidP="00096BA1">
      <w:pPr>
        <w:jc w:val="both"/>
        <w:rPr>
          <w:b/>
          <w:lang w:val="es-ES"/>
        </w:rPr>
      </w:pPr>
      <w:r w:rsidRPr="0092169F">
        <w:rPr>
          <w:b/>
          <w:lang w:val="es-ES"/>
        </w:rPr>
        <w:t xml:space="preserve">REVISOR </w:t>
      </w:r>
      <w:r w:rsidR="002B13C3">
        <w:rPr>
          <w:b/>
          <w:lang w:val="es-ES"/>
        </w:rPr>
        <w:t>A</w:t>
      </w:r>
    </w:p>
    <w:p w14:paraId="0B4D4459" w14:textId="77777777" w:rsidR="002B13C3" w:rsidRPr="0092169F" w:rsidRDefault="002B13C3" w:rsidP="00096BA1">
      <w:pPr>
        <w:jc w:val="both"/>
        <w:rPr>
          <w:b/>
          <w:lang w:val="es-ES"/>
        </w:rPr>
      </w:pPr>
    </w:p>
    <w:p w14:paraId="2E43C5FA" w14:textId="77777777" w:rsidR="00A7087A" w:rsidRPr="00A7087A" w:rsidRDefault="00AB0CF6" w:rsidP="00A7087A">
      <w:pPr>
        <w:jc w:val="both"/>
        <w:rPr>
          <w:lang w:val="es-ES"/>
        </w:rPr>
      </w:pPr>
      <w:r>
        <w:rPr>
          <w:lang w:val="es-ES"/>
        </w:rPr>
        <w:t>Comentario</w:t>
      </w:r>
      <w:r w:rsidR="00A97A81">
        <w:rPr>
          <w:lang w:val="es-ES"/>
        </w:rPr>
        <w:t xml:space="preserve"> 1</w:t>
      </w:r>
      <w:r>
        <w:rPr>
          <w:lang w:val="es-ES"/>
        </w:rPr>
        <w:t xml:space="preserve">: </w:t>
      </w:r>
      <w:r w:rsidR="00A7087A" w:rsidRPr="00A7087A">
        <w:rPr>
          <w:lang w:val="es-ES"/>
        </w:rPr>
        <w:t>Resulta clave mejorar la comparativa realizada entre los tres enfoques</w:t>
      </w:r>
    </w:p>
    <w:p w14:paraId="790ED1C5" w14:textId="77777777" w:rsidR="00AB0CF6" w:rsidRPr="00A7087A" w:rsidRDefault="00A7087A" w:rsidP="00A7087A">
      <w:pPr>
        <w:jc w:val="both"/>
      </w:pPr>
      <w:r w:rsidRPr="00A7087A">
        <w:rPr>
          <w:lang w:val="es-ES"/>
        </w:rPr>
        <w:t>expuestos antes de concluir cualquier idea al respecto.</w:t>
      </w:r>
    </w:p>
    <w:p w14:paraId="48927D7C" w14:textId="77777777" w:rsidR="007066F8" w:rsidRDefault="007066F8" w:rsidP="00096BA1">
      <w:pPr>
        <w:jc w:val="both"/>
        <w:rPr>
          <w:lang w:val="es-ES"/>
        </w:rPr>
      </w:pPr>
    </w:p>
    <w:p w14:paraId="36E4CEE5" w14:textId="77777777" w:rsidR="007066F8" w:rsidRDefault="007066F8" w:rsidP="007066F8">
      <w:pPr>
        <w:jc w:val="both"/>
        <w:rPr>
          <w:lang w:val="es-ES"/>
        </w:rPr>
      </w:pPr>
      <w:r>
        <w:rPr>
          <w:lang w:val="es-ES"/>
        </w:rPr>
        <w:t>Respuesta de los autores:</w:t>
      </w:r>
    </w:p>
    <w:p w14:paraId="02E200A9" w14:textId="77777777" w:rsidR="007066F8" w:rsidRDefault="00365260" w:rsidP="002D30CF">
      <w:pPr>
        <w:spacing w:line="276" w:lineRule="auto"/>
        <w:jc w:val="both"/>
        <w:rPr>
          <w:lang w:val="es-ES"/>
        </w:rPr>
      </w:pPr>
      <w:r>
        <w:rPr>
          <w:lang w:val="es-ES"/>
        </w:rPr>
        <w:t>Se realiza en página 8</w:t>
      </w:r>
      <w:r w:rsidR="00797247" w:rsidRPr="00797247">
        <w:rPr>
          <w:lang w:val="es-ES"/>
        </w:rPr>
        <w:t xml:space="preserve"> </w:t>
      </w:r>
      <w:r w:rsidR="002D30CF" w:rsidRPr="00797247">
        <w:rPr>
          <w:rFonts w:ascii="Arial" w:hAnsi="Arial" w:cs="Arial"/>
          <w:sz w:val="22"/>
          <w:szCs w:val="22"/>
          <w:lang w:val="es-ES"/>
        </w:rPr>
        <w:t>un resumen d</w:t>
      </w:r>
      <w:r w:rsidR="002D30CF" w:rsidRPr="00797247">
        <w:rPr>
          <w:lang w:val="es-ES"/>
        </w:rPr>
        <w:t>e</w:t>
      </w:r>
      <w:r w:rsidR="00797247" w:rsidRPr="00797247">
        <w:rPr>
          <w:lang w:val="es-ES"/>
        </w:rPr>
        <w:t xml:space="preserve"> los tres enfoques para aclarar quedando de la siguiente manera en el texto: </w:t>
      </w:r>
      <w:r>
        <w:rPr>
          <w:lang w:val="es-ES"/>
        </w:rPr>
        <w:t xml:space="preserve"> </w:t>
      </w:r>
    </w:p>
    <w:p w14:paraId="3340023A" w14:textId="77777777" w:rsidR="00365260" w:rsidRDefault="00365260" w:rsidP="002D30CF">
      <w:pPr>
        <w:spacing w:line="276" w:lineRule="auto"/>
        <w:jc w:val="both"/>
        <w:rPr>
          <w:lang w:val="es-ES"/>
        </w:rPr>
      </w:pPr>
    </w:p>
    <w:p w14:paraId="39A232B4" w14:textId="77777777" w:rsidR="00365260" w:rsidRPr="001B0A72" w:rsidRDefault="00365260" w:rsidP="00365260">
      <w:pPr>
        <w:spacing w:line="276" w:lineRule="auto"/>
        <w:jc w:val="both"/>
        <w:rPr>
          <w:rFonts w:ascii="Arial" w:hAnsi="Arial" w:cs="Arial"/>
          <w:color w:val="0070C0"/>
          <w:sz w:val="22"/>
          <w:szCs w:val="22"/>
          <w:lang w:val="es-ES"/>
        </w:rPr>
      </w:pPr>
      <w:r w:rsidRPr="001B0A72">
        <w:rPr>
          <w:rFonts w:ascii="Arial" w:hAnsi="Arial" w:cs="Arial"/>
          <w:color w:val="0070C0"/>
          <w:sz w:val="22"/>
          <w:szCs w:val="22"/>
          <w:lang w:val="es-ES"/>
        </w:rPr>
        <w:lastRenderedPageBreak/>
        <w:t xml:space="preserve">En resumen, la mirada del llamado “Diseño Universal”, que implica un tipo de diseño útil para todos los usuarios, es </w:t>
      </w:r>
      <w:proofErr w:type="spellStart"/>
      <w:r w:rsidRPr="001B0A72">
        <w:rPr>
          <w:rFonts w:ascii="Arial" w:hAnsi="Arial" w:cs="Arial"/>
          <w:color w:val="0070C0"/>
          <w:sz w:val="22"/>
          <w:szCs w:val="22"/>
          <w:lang w:val="es-ES"/>
        </w:rPr>
        <w:t>ambigüa</w:t>
      </w:r>
      <w:proofErr w:type="spellEnd"/>
      <w:r w:rsidRPr="001B0A72">
        <w:rPr>
          <w:rFonts w:ascii="Arial" w:hAnsi="Arial" w:cs="Arial"/>
          <w:color w:val="0070C0"/>
          <w:sz w:val="22"/>
          <w:szCs w:val="22"/>
          <w:lang w:val="es-ES"/>
        </w:rPr>
        <w:t xml:space="preserve"> en cuanto a sus potenciales respuestas de diseño, ya que trabajaría en torno a una idea que carece de estándar por ser tan amplia, y por ende, posee falencias de validación. La respuesta desde el enfoque del diseño de fabricación adaptable centrada en el ser humano, que considera el diseño que se adapta al proceso de envejecimiento natural de los trabajadores, también es complejo si se considera las múltiples variables que intervienen en dicho proceso de envejecimiento y que además supone una permanencia  laboral en determinadas maquinarias o centros de trabajo, lo que no se condice con la circulación y aspiraciones de ascenso de empleados y trabajadores en las empresas e industrias, cuyos cambios son continuos en el mundo laboral actual. De esta manera, el método ofrecido por el DCU parece una alternativa mucho más acotada en cuanto a variables puesto que son entregadas por los mismos usuarios, quienes además, ofrecen por medio de sus comentarios y participación, los estándares que a ellos les resultan válidos y relevantes para su evaluación.</w:t>
      </w:r>
    </w:p>
    <w:p w14:paraId="1E8006BF" w14:textId="77777777" w:rsidR="00365260" w:rsidRPr="00797247" w:rsidRDefault="00365260" w:rsidP="002D30CF">
      <w:pPr>
        <w:spacing w:line="276" w:lineRule="auto"/>
        <w:jc w:val="both"/>
        <w:rPr>
          <w:rFonts w:ascii="Arial" w:hAnsi="Arial" w:cs="Arial"/>
          <w:sz w:val="22"/>
          <w:szCs w:val="22"/>
          <w:lang w:val="es-ES"/>
        </w:rPr>
      </w:pPr>
    </w:p>
    <w:p w14:paraId="308FA1AF" w14:textId="77777777" w:rsidR="001A7CE3" w:rsidRDefault="001A7CE3" w:rsidP="00096BA1">
      <w:pPr>
        <w:jc w:val="both"/>
        <w:rPr>
          <w:lang w:val="es-ES"/>
        </w:rPr>
      </w:pPr>
    </w:p>
    <w:p w14:paraId="113A7751" w14:textId="77777777" w:rsidR="001A7CE3" w:rsidRDefault="001A7CE3" w:rsidP="00096BA1">
      <w:pPr>
        <w:jc w:val="both"/>
        <w:rPr>
          <w:lang w:val="es-ES"/>
        </w:rPr>
      </w:pPr>
    </w:p>
    <w:p w14:paraId="0B000F82" w14:textId="77777777" w:rsidR="001A7CE3" w:rsidRDefault="001A7CE3" w:rsidP="00096BA1">
      <w:pPr>
        <w:jc w:val="both"/>
        <w:rPr>
          <w:lang w:val="es-ES"/>
        </w:rPr>
      </w:pPr>
    </w:p>
    <w:p w14:paraId="1C5FA0BB" w14:textId="77777777" w:rsidR="001A7CE3" w:rsidRDefault="001A7CE3" w:rsidP="001A7CE3">
      <w:pPr>
        <w:jc w:val="both"/>
        <w:rPr>
          <w:b/>
          <w:lang w:val="es-ES"/>
        </w:rPr>
      </w:pPr>
      <w:r w:rsidRPr="0092169F">
        <w:rPr>
          <w:b/>
          <w:lang w:val="es-ES"/>
        </w:rPr>
        <w:t xml:space="preserve">REVISOR </w:t>
      </w:r>
      <w:r w:rsidR="00A7087A" w:rsidRPr="0092169F">
        <w:rPr>
          <w:b/>
          <w:lang w:val="es-ES"/>
        </w:rPr>
        <w:t>C</w:t>
      </w:r>
    </w:p>
    <w:p w14:paraId="1BA5E9BF" w14:textId="77777777" w:rsidR="0092169F" w:rsidRPr="0092169F" w:rsidRDefault="0092169F" w:rsidP="001A7CE3">
      <w:pPr>
        <w:jc w:val="both"/>
        <w:rPr>
          <w:b/>
          <w:lang w:val="es-ES"/>
        </w:rPr>
      </w:pPr>
    </w:p>
    <w:p w14:paraId="470506A0" w14:textId="77777777" w:rsidR="00A7087A" w:rsidRPr="00A7087A" w:rsidRDefault="001A7CE3" w:rsidP="00A7087A">
      <w:pPr>
        <w:jc w:val="both"/>
        <w:rPr>
          <w:lang w:val="es-ES"/>
        </w:rPr>
      </w:pPr>
      <w:r>
        <w:rPr>
          <w:lang w:val="es-ES"/>
        </w:rPr>
        <w:t>Comentario</w:t>
      </w:r>
      <w:r w:rsidR="00A97A81">
        <w:rPr>
          <w:lang w:val="es-ES"/>
        </w:rPr>
        <w:t xml:space="preserve"> 1</w:t>
      </w:r>
      <w:r>
        <w:rPr>
          <w:lang w:val="es-ES"/>
        </w:rPr>
        <w:t>:</w:t>
      </w:r>
      <w:r w:rsidR="00A7087A" w:rsidRPr="00A7087A">
        <w:rPr>
          <w:lang w:val="es-ES"/>
        </w:rPr>
        <w:t xml:space="preserve">  El título del artículo anuncia diseño de productos para adultos mayores.</w:t>
      </w:r>
    </w:p>
    <w:p w14:paraId="26DBF17B" w14:textId="77777777" w:rsidR="008B01D3" w:rsidRDefault="00A7087A" w:rsidP="00A7087A">
      <w:pPr>
        <w:jc w:val="both"/>
        <w:rPr>
          <w:lang w:val="es-ES"/>
        </w:rPr>
      </w:pPr>
      <w:r w:rsidRPr="00A7087A">
        <w:rPr>
          <w:lang w:val="es-ES"/>
        </w:rPr>
        <w:t>Luego, en el resumen, se plantea como objetivo principal, "ilustrar la</w:t>
      </w:r>
      <w:r>
        <w:rPr>
          <w:lang w:val="es-ES"/>
        </w:rPr>
        <w:t xml:space="preserve"> </w:t>
      </w:r>
      <w:r w:rsidRPr="00A7087A">
        <w:rPr>
          <w:lang w:val="es-ES"/>
        </w:rPr>
        <w:t>relevancia del trabajo interdisciplinar y la participación del usuario</w:t>
      </w:r>
      <w:r>
        <w:rPr>
          <w:lang w:val="es-ES"/>
        </w:rPr>
        <w:t xml:space="preserve"> </w:t>
      </w:r>
      <w:r w:rsidRPr="00A7087A">
        <w:rPr>
          <w:lang w:val="es-ES"/>
        </w:rPr>
        <w:t>durante el transcurso de `las actividades´" (no especifica cuáles),</w:t>
      </w:r>
      <w:r>
        <w:rPr>
          <w:lang w:val="es-ES"/>
        </w:rPr>
        <w:t xml:space="preserve"> </w:t>
      </w:r>
      <w:r w:rsidRPr="00A7087A">
        <w:rPr>
          <w:lang w:val="es-ES"/>
        </w:rPr>
        <w:t xml:space="preserve">quedando el adulto mayor al margen (no lo nombra). </w:t>
      </w:r>
    </w:p>
    <w:p w14:paraId="5ECBCEDA" w14:textId="77777777" w:rsidR="0054208B" w:rsidRDefault="0054208B" w:rsidP="00A7087A">
      <w:pPr>
        <w:jc w:val="both"/>
        <w:rPr>
          <w:lang w:val="es-ES"/>
        </w:rPr>
      </w:pPr>
    </w:p>
    <w:p w14:paraId="4BCB72DC" w14:textId="77777777" w:rsidR="0054208B" w:rsidRDefault="0054208B" w:rsidP="0054208B">
      <w:pPr>
        <w:jc w:val="both"/>
        <w:rPr>
          <w:lang w:val="es-ES"/>
        </w:rPr>
      </w:pPr>
      <w:r>
        <w:rPr>
          <w:lang w:val="es-ES"/>
        </w:rPr>
        <w:t>Respuesta de los autores:</w:t>
      </w:r>
    </w:p>
    <w:p w14:paraId="570250D1" w14:textId="77777777" w:rsidR="008627D3" w:rsidRPr="008B1235" w:rsidRDefault="008627D3" w:rsidP="002D30CF">
      <w:pPr>
        <w:spacing w:line="276" w:lineRule="auto"/>
        <w:jc w:val="both"/>
        <w:rPr>
          <w:rFonts w:ascii="Arial" w:hAnsi="Arial" w:cs="Arial"/>
          <w:color w:val="0070C0"/>
          <w:sz w:val="22"/>
          <w:szCs w:val="22"/>
        </w:rPr>
      </w:pPr>
      <w:r w:rsidRPr="008B1235">
        <w:rPr>
          <w:rFonts w:ascii="Arial" w:hAnsi="Arial" w:cs="Arial"/>
          <w:color w:val="0070C0"/>
          <w:sz w:val="22"/>
          <w:szCs w:val="22"/>
        </w:rPr>
        <w:t>El texto ha sido modificado, agregándole la siguiente aclaración.</w:t>
      </w:r>
    </w:p>
    <w:p w14:paraId="0EE3352D" w14:textId="77777777" w:rsidR="008627D3" w:rsidRDefault="008627D3" w:rsidP="002D30CF">
      <w:pPr>
        <w:spacing w:line="276" w:lineRule="auto"/>
        <w:jc w:val="both"/>
        <w:rPr>
          <w:rFonts w:ascii="Arial" w:hAnsi="Arial" w:cs="Arial"/>
          <w:sz w:val="22"/>
          <w:szCs w:val="22"/>
        </w:rPr>
      </w:pPr>
    </w:p>
    <w:p w14:paraId="3D7BAB42" w14:textId="77777777" w:rsidR="002D30CF" w:rsidRPr="00B37E54" w:rsidRDefault="002D30CF" w:rsidP="002D30CF">
      <w:pPr>
        <w:spacing w:line="276" w:lineRule="auto"/>
        <w:jc w:val="both"/>
        <w:rPr>
          <w:rFonts w:ascii="Arial" w:hAnsi="Arial" w:cs="Arial"/>
          <w:color w:val="FF0000"/>
          <w:sz w:val="22"/>
          <w:szCs w:val="22"/>
        </w:rPr>
      </w:pPr>
      <w:r w:rsidRPr="006D13A3">
        <w:rPr>
          <w:rFonts w:ascii="Arial" w:hAnsi="Arial" w:cs="Arial"/>
          <w:sz w:val="22"/>
          <w:szCs w:val="22"/>
        </w:rPr>
        <w:t>El objetivo es ilustrar la relevancia del trabajo interdisciplinar y la participación</w:t>
      </w:r>
      <w:r>
        <w:rPr>
          <w:rFonts w:ascii="Arial" w:hAnsi="Arial" w:cs="Arial"/>
          <w:sz w:val="22"/>
          <w:szCs w:val="22"/>
        </w:rPr>
        <w:t xml:space="preserve"> activa </w:t>
      </w:r>
      <w:r w:rsidRPr="006D13A3">
        <w:rPr>
          <w:rFonts w:ascii="Arial" w:hAnsi="Arial" w:cs="Arial"/>
          <w:sz w:val="22"/>
          <w:szCs w:val="22"/>
        </w:rPr>
        <w:t xml:space="preserve">del usuario </w:t>
      </w:r>
      <w:r w:rsidRPr="001B0A72">
        <w:rPr>
          <w:rFonts w:ascii="Arial" w:hAnsi="Arial" w:cs="Arial"/>
          <w:color w:val="0070C0"/>
          <w:sz w:val="22"/>
          <w:szCs w:val="22"/>
        </w:rPr>
        <w:t>adulto mayor en el transcurso del diseño</w:t>
      </w:r>
      <w:r w:rsidR="008627D3">
        <w:rPr>
          <w:rFonts w:ascii="Arial" w:hAnsi="Arial" w:cs="Arial"/>
          <w:color w:val="0070C0"/>
          <w:sz w:val="22"/>
          <w:szCs w:val="22"/>
        </w:rPr>
        <w:t>.</w:t>
      </w:r>
    </w:p>
    <w:p w14:paraId="4C65C763" w14:textId="77777777" w:rsidR="008B01D3" w:rsidRDefault="008B01D3" w:rsidP="00A7087A">
      <w:pPr>
        <w:jc w:val="both"/>
        <w:rPr>
          <w:lang w:val="es-ES"/>
        </w:rPr>
      </w:pPr>
    </w:p>
    <w:p w14:paraId="779EF495" w14:textId="77777777" w:rsidR="00A7087A" w:rsidRDefault="0054208B" w:rsidP="00A7087A">
      <w:pPr>
        <w:jc w:val="both"/>
        <w:rPr>
          <w:lang w:val="es-ES"/>
        </w:rPr>
      </w:pPr>
      <w:r>
        <w:rPr>
          <w:lang w:val="es-ES"/>
        </w:rPr>
        <w:t>Comentario 2:</w:t>
      </w:r>
      <w:r w:rsidRPr="00A7087A">
        <w:rPr>
          <w:lang w:val="es-ES"/>
        </w:rPr>
        <w:t xml:space="preserve">  </w:t>
      </w:r>
      <w:r w:rsidR="00A7087A" w:rsidRPr="00A7087A">
        <w:rPr>
          <w:lang w:val="es-ES"/>
        </w:rPr>
        <w:t>En las conclusiones,</w:t>
      </w:r>
      <w:r w:rsidR="008B01D3">
        <w:rPr>
          <w:lang w:val="es-ES"/>
        </w:rPr>
        <w:t xml:space="preserve"> </w:t>
      </w:r>
      <w:r w:rsidR="00A7087A" w:rsidRPr="00A7087A">
        <w:rPr>
          <w:lang w:val="es-ES"/>
        </w:rPr>
        <w:t>releva la importancia de la figura del diseñador en un equipo de trabajo</w:t>
      </w:r>
      <w:r w:rsidR="00A7087A">
        <w:rPr>
          <w:lang w:val="es-ES"/>
        </w:rPr>
        <w:t xml:space="preserve"> </w:t>
      </w:r>
      <w:r w:rsidR="00A7087A" w:rsidRPr="00A7087A">
        <w:rPr>
          <w:lang w:val="es-ES"/>
        </w:rPr>
        <w:t>interdisciplinario, por su "capacidad de generar divergencia y revelar</w:t>
      </w:r>
      <w:r w:rsidR="00A7087A">
        <w:rPr>
          <w:lang w:val="es-ES"/>
        </w:rPr>
        <w:t xml:space="preserve"> </w:t>
      </w:r>
      <w:r w:rsidR="00A7087A" w:rsidRPr="00A7087A">
        <w:rPr>
          <w:lang w:val="es-ES"/>
        </w:rPr>
        <w:t>aspectos no evidenciados dentro de los márgenes canonizados de los saberes</w:t>
      </w:r>
      <w:r w:rsidR="00A7087A">
        <w:rPr>
          <w:lang w:val="es-ES"/>
        </w:rPr>
        <w:t xml:space="preserve"> </w:t>
      </w:r>
      <w:r w:rsidR="00A7087A" w:rsidRPr="00A7087A">
        <w:rPr>
          <w:lang w:val="es-ES"/>
        </w:rPr>
        <w:t>disciplinarios". Tampoco aparece el adulto mayor.</w:t>
      </w:r>
    </w:p>
    <w:p w14:paraId="2819ED3E" w14:textId="77777777" w:rsidR="00E76548" w:rsidRDefault="00E76548" w:rsidP="00A7087A">
      <w:pPr>
        <w:jc w:val="both"/>
        <w:rPr>
          <w:lang w:val="es-ES"/>
        </w:rPr>
      </w:pPr>
    </w:p>
    <w:p w14:paraId="05AF39C5" w14:textId="77777777" w:rsidR="00DE3796" w:rsidRPr="00C70B37" w:rsidRDefault="0054208B" w:rsidP="00DE3796">
      <w:pPr>
        <w:jc w:val="both"/>
        <w:rPr>
          <w:color w:val="FF0000"/>
          <w:lang w:val="es-ES"/>
        </w:rPr>
      </w:pPr>
      <w:r>
        <w:rPr>
          <w:lang w:val="es-ES"/>
        </w:rPr>
        <w:t>Respuesta de los autores:</w:t>
      </w:r>
      <w:r w:rsidR="00471D91">
        <w:rPr>
          <w:lang w:val="es-ES"/>
        </w:rPr>
        <w:t xml:space="preserve"> </w:t>
      </w:r>
      <w:r w:rsidR="00471D91" w:rsidRPr="00885945">
        <w:rPr>
          <w:lang w:val="es-ES"/>
        </w:rPr>
        <w:t xml:space="preserve">El revisor tiene razón hemos vuelto </w:t>
      </w:r>
      <w:r w:rsidR="00202E8F" w:rsidRPr="00885945">
        <w:rPr>
          <w:lang w:val="es-ES"/>
        </w:rPr>
        <w:t xml:space="preserve">a </w:t>
      </w:r>
      <w:r w:rsidR="00073CB7" w:rsidRPr="00885945">
        <w:rPr>
          <w:lang w:val="es-ES"/>
        </w:rPr>
        <w:t>retroalimentar las conclusiones incluyendo el siguiente texto</w:t>
      </w:r>
      <w:r w:rsidR="00C70B37">
        <w:rPr>
          <w:lang w:val="es-ES"/>
        </w:rPr>
        <w:t xml:space="preserve">, </w:t>
      </w:r>
      <w:r w:rsidR="00C70B37" w:rsidRPr="008B1235">
        <w:rPr>
          <w:color w:val="0070C0"/>
          <w:lang w:val="es-ES"/>
        </w:rPr>
        <w:t>en el que también se destaca la importancia de los profesionales de la salud:</w:t>
      </w:r>
    </w:p>
    <w:p w14:paraId="2E47F0AB" w14:textId="77777777" w:rsidR="00C70B37" w:rsidRPr="00C70B37" w:rsidRDefault="00C70B37" w:rsidP="00C70B37">
      <w:pPr>
        <w:spacing w:line="276" w:lineRule="auto"/>
        <w:jc w:val="both"/>
        <w:rPr>
          <w:rFonts w:ascii="Arial" w:hAnsi="Arial" w:cs="Arial"/>
          <w:color w:val="FF0000"/>
          <w:sz w:val="22"/>
          <w:szCs w:val="22"/>
        </w:rPr>
      </w:pPr>
    </w:p>
    <w:p w14:paraId="18E88925" w14:textId="77777777" w:rsidR="00C70B37" w:rsidRPr="008B1235" w:rsidRDefault="00C70B37" w:rsidP="00C70B37">
      <w:pPr>
        <w:spacing w:line="276" w:lineRule="auto"/>
        <w:jc w:val="both"/>
        <w:rPr>
          <w:rFonts w:ascii="Arial" w:hAnsi="Arial" w:cs="Arial"/>
          <w:color w:val="0070C0"/>
          <w:sz w:val="22"/>
          <w:szCs w:val="22"/>
        </w:rPr>
      </w:pPr>
      <w:r w:rsidRPr="008B1235">
        <w:rPr>
          <w:rFonts w:ascii="Arial" w:hAnsi="Arial" w:cs="Arial"/>
          <w:color w:val="0070C0"/>
          <w:sz w:val="22"/>
          <w:szCs w:val="22"/>
        </w:rPr>
        <w:t xml:space="preserve">Sin embargo, el diseñador a solas carece de una formación sistemática en los aspectos biológicos, psicológicos y sociales específicos del adulto mayor, lo que puede generar en él una aproximación reduccionista, parcial o, incluso, ingenua de lo que el adulto mayor requiere. Por este motivo, involucrar a los profesionales de la salud aporta una mirada del </w:t>
      </w:r>
      <w:r w:rsidRPr="008B1235">
        <w:rPr>
          <w:rFonts w:ascii="Arial" w:hAnsi="Arial" w:cs="Arial"/>
          <w:color w:val="0070C0"/>
          <w:sz w:val="22"/>
          <w:szCs w:val="22"/>
        </w:rPr>
        <w:lastRenderedPageBreak/>
        <w:t>adulto mayor como persona biológicamente conformada y en proceso de cambio fisiológico, pero también como una persona psicológica y socialmente compleja, enriqueciendo y dándole rigurosidad científica a la mirada que el diseñador puede tener de ésta. Asimismo ,los profesionales de la salud pueden utilizar el diseño como medio creativo y comunicativo, en donde pueden hacerse parte activa no sólo de la atención del adulto mayor, sino de la generación de objetos y tecnologías que asistan su labor, tanto desde una mirada remedial como promotora de salud.</w:t>
      </w:r>
    </w:p>
    <w:p w14:paraId="2BE20CAF" w14:textId="77777777" w:rsidR="00C70B37" w:rsidRPr="008B1235" w:rsidRDefault="00C70B37" w:rsidP="00C70B37">
      <w:pPr>
        <w:spacing w:line="276" w:lineRule="auto"/>
        <w:jc w:val="both"/>
        <w:rPr>
          <w:rFonts w:ascii="Arial" w:hAnsi="Arial" w:cs="Arial"/>
          <w:color w:val="0070C0"/>
          <w:sz w:val="22"/>
          <w:szCs w:val="22"/>
        </w:rPr>
      </w:pPr>
      <w:r w:rsidRPr="008B1235">
        <w:rPr>
          <w:rFonts w:ascii="Arial" w:hAnsi="Arial" w:cs="Arial"/>
          <w:color w:val="0070C0"/>
          <w:sz w:val="22"/>
          <w:szCs w:val="22"/>
        </w:rPr>
        <w:t xml:space="preserve">Por último, incorporar al adulto mayor permite volver al diseño como un proceso más “amigable”, al incorporar al usuario en una génesis participativa. Pero también permite aumentar la vinculación con el contexto, ya que al incorporar al adulto mayor en el diseño se le empodera y se aumenta la vinculación afectiva con lo diseñado. Y por último, dar voz al usuario también permite trascender a la mirada científica </w:t>
      </w:r>
      <w:proofErr w:type="spellStart"/>
      <w:r w:rsidRPr="008B1235">
        <w:rPr>
          <w:rFonts w:ascii="Arial" w:hAnsi="Arial" w:cs="Arial"/>
          <w:color w:val="0070C0"/>
          <w:sz w:val="22"/>
          <w:szCs w:val="22"/>
        </w:rPr>
        <w:t>estandarizadora</w:t>
      </w:r>
      <w:proofErr w:type="spellEnd"/>
      <w:r w:rsidRPr="008B1235">
        <w:rPr>
          <w:rFonts w:ascii="Arial" w:hAnsi="Arial" w:cs="Arial"/>
          <w:color w:val="0070C0"/>
          <w:sz w:val="22"/>
          <w:szCs w:val="22"/>
        </w:rPr>
        <w:t xml:space="preserve"> y, eventualmente, ciega a las particularidad contextuales, permitiendo una recolección inductiva, </w:t>
      </w:r>
      <w:proofErr w:type="spellStart"/>
      <w:r w:rsidRPr="008B1235">
        <w:rPr>
          <w:rFonts w:ascii="Arial" w:hAnsi="Arial" w:cs="Arial"/>
          <w:color w:val="0070C0"/>
          <w:sz w:val="22"/>
          <w:szCs w:val="22"/>
        </w:rPr>
        <w:t>émica</w:t>
      </w:r>
      <w:proofErr w:type="spellEnd"/>
      <w:r w:rsidRPr="008B1235">
        <w:rPr>
          <w:rFonts w:ascii="Arial" w:hAnsi="Arial" w:cs="Arial"/>
          <w:color w:val="0070C0"/>
          <w:sz w:val="22"/>
          <w:szCs w:val="22"/>
        </w:rPr>
        <w:t xml:space="preserve"> y culturalmente específica. </w:t>
      </w:r>
    </w:p>
    <w:p w14:paraId="1A0D70EA" w14:textId="77777777" w:rsidR="00C70B37" w:rsidRPr="008B1235" w:rsidRDefault="00C70B37" w:rsidP="00DE3796">
      <w:pPr>
        <w:jc w:val="both"/>
        <w:rPr>
          <w:color w:val="0070C0"/>
          <w:lang w:val="es-ES"/>
        </w:rPr>
      </w:pPr>
    </w:p>
    <w:p w14:paraId="10B18499" w14:textId="77777777" w:rsidR="00DE3796" w:rsidRDefault="00DE3796" w:rsidP="00DE3796">
      <w:pPr>
        <w:jc w:val="both"/>
        <w:rPr>
          <w:lang w:val="es-ES"/>
        </w:rPr>
      </w:pPr>
    </w:p>
    <w:p w14:paraId="05388EEB" w14:textId="77777777" w:rsidR="0035045F" w:rsidRPr="00DE3796" w:rsidRDefault="0035045F" w:rsidP="00DE3796">
      <w:pPr>
        <w:jc w:val="both"/>
        <w:rPr>
          <w:lang w:val="es-ES"/>
        </w:rPr>
      </w:pPr>
      <w:r w:rsidRPr="00386871">
        <w:rPr>
          <w:rFonts w:ascii="Arial" w:hAnsi="Arial" w:cs="Arial"/>
          <w:color w:val="000000" w:themeColor="text1"/>
          <w:sz w:val="22"/>
          <w:szCs w:val="22"/>
        </w:rPr>
        <w:t xml:space="preserve"> </w:t>
      </w:r>
    </w:p>
    <w:p w14:paraId="65CF7CB9" w14:textId="77777777" w:rsidR="0035045F" w:rsidRPr="0035045F" w:rsidRDefault="0035045F" w:rsidP="0054208B">
      <w:pPr>
        <w:jc w:val="both"/>
        <w:rPr>
          <w:highlight w:val="yellow"/>
        </w:rPr>
      </w:pPr>
    </w:p>
    <w:p w14:paraId="63F0BD9D" w14:textId="77777777" w:rsidR="00073CB7" w:rsidRPr="006166DB" w:rsidRDefault="00073CB7" w:rsidP="0054208B">
      <w:pPr>
        <w:jc w:val="both"/>
        <w:rPr>
          <w:highlight w:val="yellow"/>
          <w:lang w:val="es-ES"/>
        </w:rPr>
      </w:pPr>
    </w:p>
    <w:p w14:paraId="25A72C45" w14:textId="77777777" w:rsidR="002D30CF" w:rsidRDefault="002D30CF" w:rsidP="0054208B">
      <w:pPr>
        <w:jc w:val="both"/>
        <w:rPr>
          <w:lang w:val="es-ES"/>
        </w:rPr>
      </w:pPr>
    </w:p>
    <w:p w14:paraId="195A0CB0" w14:textId="77777777" w:rsidR="008B01D3" w:rsidRPr="00A7087A" w:rsidRDefault="008B01D3" w:rsidP="00A7087A">
      <w:pPr>
        <w:jc w:val="both"/>
        <w:rPr>
          <w:lang w:val="es-ES"/>
        </w:rPr>
      </w:pPr>
    </w:p>
    <w:p w14:paraId="2EA58991" w14:textId="77777777" w:rsidR="001A7CE3" w:rsidRDefault="0054208B" w:rsidP="00A7087A">
      <w:pPr>
        <w:jc w:val="both"/>
        <w:rPr>
          <w:lang w:val="es-ES"/>
        </w:rPr>
      </w:pPr>
      <w:r>
        <w:rPr>
          <w:lang w:val="es-ES"/>
        </w:rPr>
        <w:t>Comentario 3:</w:t>
      </w:r>
      <w:r w:rsidRPr="00A7087A">
        <w:rPr>
          <w:lang w:val="es-ES"/>
        </w:rPr>
        <w:t xml:space="preserve">  </w:t>
      </w:r>
      <w:r w:rsidR="00A7087A" w:rsidRPr="00A7087A">
        <w:rPr>
          <w:lang w:val="es-ES"/>
        </w:rPr>
        <w:t>No se entiende por qué involucra al adulto mayor en su planteamiento, si es</w:t>
      </w:r>
      <w:r w:rsidR="00A7087A">
        <w:rPr>
          <w:lang w:val="es-ES"/>
        </w:rPr>
        <w:t xml:space="preserve"> </w:t>
      </w:r>
      <w:r w:rsidR="00A7087A" w:rsidRPr="00A7087A">
        <w:rPr>
          <w:lang w:val="es-ES"/>
        </w:rPr>
        <w:t>que no lo aterriza en un caso de estudio que dé fuerza a su argumento. Tal</w:t>
      </w:r>
      <w:r w:rsidR="00A7087A">
        <w:rPr>
          <w:lang w:val="es-ES"/>
        </w:rPr>
        <w:t xml:space="preserve"> </w:t>
      </w:r>
      <w:r w:rsidR="00A7087A" w:rsidRPr="00A7087A">
        <w:rPr>
          <w:lang w:val="es-ES"/>
        </w:rPr>
        <w:t>como lo plantea, el tema del adulto mayor queda casi anecdótico (aunque</w:t>
      </w:r>
      <w:r w:rsidR="00A7087A">
        <w:rPr>
          <w:lang w:val="es-ES"/>
        </w:rPr>
        <w:t xml:space="preserve"> </w:t>
      </w:r>
      <w:r w:rsidR="00A7087A" w:rsidRPr="00A7087A">
        <w:rPr>
          <w:lang w:val="es-ES"/>
        </w:rPr>
        <w:t>ocupa casi todas las imágenes en ello). Me parece que basta con lo que</w:t>
      </w:r>
      <w:r w:rsidR="00A7087A">
        <w:rPr>
          <w:lang w:val="es-ES"/>
        </w:rPr>
        <w:t xml:space="preserve"> </w:t>
      </w:r>
      <w:r w:rsidR="00A7087A" w:rsidRPr="00A7087A">
        <w:rPr>
          <w:lang w:val="es-ES"/>
        </w:rPr>
        <w:t>plantea en referencia al rol del diseñador y al consenso como principio</w:t>
      </w:r>
      <w:r w:rsidR="00A7087A">
        <w:rPr>
          <w:lang w:val="es-ES"/>
        </w:rPr>
        <w:t xml:space="preserve"> </w:t>
      </w:r>
      <w:r w:rsidR="00A7087A" w:rsidRPr="00A7087A">
        <w:rPr>
          <w:lang w:val="es-ES"/>
        </w:rPr>
        <w:t>fundamental del equipo, (argumento que desarrolla fundadamente hasta el</w:t>
      </w:r>
      <w:r w:rsidR="002D30CF">
        <w:rPr>
          <w:lang w:val="es-ES"/>
        </w:rPr>
        <w:t xml:space="preserve"> </w:t>
      </w:r>
      <w:r w:rsidR="00A7087A" w:rsidRPr="00A7087A">
        <w:rPr>
          <w:lang w:val="es-ES"/>
        </w:rPr>
        <w:t>final), es suficiente.</w:t>
      </w:r>
    </w:p>
    <w:p w14:paraId="1F9B3A0C" w14:textId="77777777" w:rsidR="00E76548" w:rsidRDefault="00E76548" w:rsidP="00A7087A">
      <w:pPr>
        <w:jc w:val="both"/>
        <w:rPr>
          <w:lang w:val="es-ES"/>
        </w:rPr>
      </w:pPr>
    </w:p>
    <w:p w14:paraId="210EA4F2" w14:textId="77777777" w:rsidR="002D30CF" w:rsidRDefault="001A7CE3" w:rsidP="001A7CE3">
      <w:pPr>
        <w:jc w:val="both"/>
        <w:rPr>
          <w:lang w:val="es-ES"/>
        </w:rPr>
      </w:pPr>
      <w:r>
        <w:rPr>
          <w:lang w:val="es-ES"/>
        </w:rPr>
        <w:t>Respuesta de los autores:</w:t>
      </w:r>
      <w:r w:rsidR="003C4111">
        <w:rPr>
          <w:lang w:val="es-ES"/>
        </w:rPr>
        <w:t xml:space="preserve"> </w:t>
      </w:r>
      <w:r w:rsidR="002C31D0">
        <w:rPr>
          <w:lang w:val="es-ES"/>
        </w:rPr>
        <w:t>Es importante subrayar el rol del adulto mayor como eje temático por su carácter dinámico, específico y relevante para el desarrollo de la sociedad actual. Para aclarar este punto, se agregó el siguiente párrafo:</w:t>
      </w:r>
    </w:p>
    <w:p w14:paraId="49DA8F70" w14:textId="77777777" w:rsidR="002C31D0" w:rsidRDefault="002C31D0" w:rsidP="001A7CE3">
      <w:pPr>
        <w:jc w:val="both"/>
        <w:rPr>
          <w:lang w:val="es-ES"/>
        </w:rPr>
      </w:pPr>
    </w:p>
    <w:p w14:paraId="60BD8604" w14:textId="77777777" w:rsidR="002C31D0" w:rsidRPr="0085511D" w:rsidRDefault="002C31D0" w:rsidP="002C31D0">
      <w:pPr>
        <w:widowControl w:val="0"/>
        <w:autoSpaceDE w:val="0"/>
        <w:autoSpaceDN w:val="0"/>
        <w:adjustRightInd w:val="0"/>
        <w:spacing w:line="276" w:lineRule="auto"/>
        <w:jc w:val="both"/>
        <w:rPr>
          <w:rFonts w:ascii="Arial" w:hAnsi="Arial" w:cs="Arial"/>
          <w:color w:val="0070C0"/>
          <w:sz w:val="22"/>
          <w:szCs w:val="22"/>
        </w:rPr>
      </w:pPr>
      <w:r w:rsidRPr="0085511D">
        <w:rPr>
          <w:rFonts w:ascii="Arial" w:hAnsi="Arial" w:cs="Arial"/>
          <w:color w:val="0070C0"/>
          <w:sz w:val="22"/>
          <w:szCs w:val="22"/>
        </w:rPr>
        <w:t>Se ha elegido a los adultos mayores como grupo objetivo, pues diseñar productos para este grupo supone una mayor complejidad en términos de considerar como los factores de envejecimiento y deterioros propios de la edad y sumados a los que se gatillan y exacerban (dolencias crónicas, enfermedades mentales, etc.) Hace que la mirada del especialista en salud y otros especialistas sea clave para responder dentro de un tiempo razonable y reducir en lo posible el proceso a través de este abordaje interdisciplinar logrando mapear e identificar y generando un abordaje mancomunado para resolver problemáticas complejas que no solo deben abordar aspectos psicosociales sino la manera en que estos usuarios puedan incorporar las nuevas tecnologías para su beneficio.</w:t>
      </w:r>
    </w:p>
    <w:p w14:paraId="61CB287C" w14:textId="77777777" w:rsidR="002C31D0" w:rsidRDefault="002C31D0" w:rsidP="001A7CE3">
      <w:pPr>
        <w:jc w:val="both"/>
        <w:rPr>
          <w:lang w:val="es-ES"/>
        </w:rPr>
      </w:pPr>
    </w:p>
    <w:p w14:paraId="49DCFF81" w14:textId="77777777" w:rsidR="008C5B5F" w:rsidRDefault="008C5B5F" w:rsidP="001A7CE3">
      <w:pPr>
        <w:jc w:val="both"/>
        <w:rPr>
          <w:lang w:val="es-ES"/>
        </w:rPr>
      </w:pPr>
    </w:p>
    <w:p w14:paraId="3E42C544" w14:textId="77777777" w:rsidR="008C5B5F" w:rsidRDefault="008C5B5F" w:rsidP="001A7CE3">
      <w:pPr>
        <w:jc w:val="both"/>
        <w:rPr>
          <w:lang w:val="es-ES"/>
        </w:rPr>
      </w:pPr>
    </w:p>
    <w:p w14:paraId="22968D88" w14:textId="77777777" w:rsidR="00432108" w:rsidRPr="00432108" w:rsidRDefault="00432108" w:rsidP="001A7CE3">
      <w:pPr>
        <w:jc w:val="both"/>
      </w:pPr>
    </w:p>
    <w:p w14:paraId="04C06D5B" w14:textId="77777777" w:rsidR="0092169F" w:rsidRDefault="0092169F" w:rsidP="00096BA1">
      <w:pPr>
        <w:jc w:val="both"/>
        <w:rPr>
          <w:lang w:val="es-ES"/>
        </w:rPr>
      </w:pPr>
    </w:p>
    <w:p w14:paraId="652FF274" w14:textId="77777777" w:rsidR="0092169F" w:rsidRDefault="008A40ED" w:rsidP="0092169F">
      <w:pPr>
        <w:jc w:val="both"/>
        <w:rPr>
          <w:lang w:val="es-ES"/>
        </w:rPr>
      </w:pPr>
      <w:r>
        <w:rPr>
          <w:lang w:val="es-ES"/>
        </w:rPr>
        <w:t>Comentario 4</w:t>
      </w:r>
      <w:r w:rsidR="0092169F">
        <w:rPr>
          <w:lang w:val="es-ES"/>
        </w:rPr>
        <w:t xml:space="preserve">: </w:t>
      </w:r>
      <w:r w:rsidR="0092169F" w:rsidRPr="0092169F">
        <w:rPr>
          <w:lang w:val="es-ES"/>
        </w:rPr>
        <w:t xml:space="preserve">      La palabra clave “diseño centrado en el usuario” es demasiado larga.</w:t>
      </w:r>
    </w:p>
    <w:p w14:paraId="7B754765" w14:textId="77777777" w:rsidR="0092169F" w:rsidRDefault="0092169F" w:rsidP="0092169F">
      <w:pPr>
        <w:jc w:val="both"/>
        <w:rPr>
          <w:lang w:val="es-ES"/>
        </w:rPr>
      </w:pPr>
    </w:p>
    <w:p w14:paraId="5D40E62D" w14:textId="77777777" w:rsidR="0092169F" w:rsidRDefault="0092169F" w:rsidP="0092169F">
      <w:pPr>
        <w:jc w:val="both"/>
        <w:rPr>
          <w:lang w:val="es-ES"/>
        </w:rPr>
      </w:pPr>
      <w:r>
        <w:rPr>
          <w:lang w:val="es-ES"/>
        </w:rPr>
        <w:t>Respuesta de los autores:</w:t>
      </w:r>
    </w:p>
    <w:p w14:paraId="1DCB2930" w14:textId="77777777" w:rsidR="00C8276A" w:rsidRDefault="00C8276A" w:rsidP="0092169F">
      <w:pPr>
        <w:jc w:val="both"/>
        <w:rPr>
          <w:lang w:val="es-ES"/>
        </w:rPr>
      </w:pPr>
      <w:r>
        <w:rPr>
          <w:lang w:val="es-ES"/>
        </w:rPr>
        <w:t xml:space="preserve">Efectivamente es demasiado larga, sin </w:t>
      </w:r>
      <w:r w:rsidR="003C4111">
        <w:rPr>
          <w:lang w:val="es-ES"/>
        </w:rPr>
        <w:t>embargo,</w:t>
      </w:r>
      <w:r>
        <w:rPr>
          <w:lang w:val="es-ES"/>
        </w:rPr>
        <w:t xml:space="preserve"> se ha utilizado previamente como palabra clave profusamente en diversos artículos de investigación.</w:t>
      </w:r>
    </w:p>
    <w:p w14:paraId="15F7CBF0" w14:textId="77777777" w:rsidR="002B13C3" w:rsidRPr="0092169F" w:rsidRDefault="002B13C3" w:rsidP="0092169F">
      <w:pPr>
        <w:jc w:val="both"/>
        <w:rPr>
          <w:lang w:val="es-ES"/>
        </w:rPr>
      </w:pPr>
    </w:p>
    <w:p w14:paraId="5E578430" w14:textId="77777777" w:rsidR="0092169F" w:rsidRPr="0092169F" w:rsidRDefault="008A40ED" w:rsidP="0092169F">
      <w:pPr>
        <w:jc w:val="both"/>
        <w:rPr>
          <w:lang w:val="es-ES"/>
        </w:rPr>
      </w:pPr>
      <w:r>
        <w:rPr>
          <w:lang w:val="es-ES"/>
        </w:rPr>
        <w:t>Comentario 5</w:t>
      </w:r>
      <w:r w:rsidR="0092169F">
        <w:rPr>
          <w:lang w:val="es-ES"/>
        </w:rPr>
        <w:t xml:space="preserve">: </w:t>
      </w:r>
      <w:r w:rsidR="0092169F" w:rsidRPr="0092169F">
        <w:rPr>
          <w:lang w:val="es-ES"/>
        </w:rPr>
        <w:t>En el capítulo “Compartir conocimiento para el diseño: las</w:t>
      </w:r>
      <w:r w:rsidR="0092169F">
        <w:rPr>
          <w:lang w:val="es-ES"/>
        </w:rPr>
        <w:t xml:space="preserve"> </w:t>
      </w:r>
      <w:r w:rsidR="0092169F" w:rsidRPr="0092169F">
        <w:rPr>
          <w:lang w:val="es-ES"/>
        </w:rPr>
        <w:t>complejidades comunicacionales de la interdisciplinariedad”, el autor</w:t>
      </w:r>
      <w:r w:rsidR="0092169F">
        <w:rPr>
          <w:lang w:val="es-ES"/>
        </w:rPr>
        <w:t xml:space="preserve"> </w:t>
      </w:r>
      <w:r w:rsidR="0092169F" w:rsidRPr="0092169F">
        <w:rPr>
          <w:lang w:val="es-ES"/>
        </w:rPr>
        <w:t>realiza varias afirmaciones que carecen de contexto histórico, que oriente</w:t>
      </w:r>
      <w:r w:rsidR="0092169F">
        <w:rPr>
          <w:lang w:val="es-ES"/>
        </w:rPr>
        <w:t xml:space="preserve"> </w:t>
      </w:r>
      <w:r w:rsidR="0092169F" w:rsidRPr="0092169F">
        <w:rPr>
          <w:lang w:val="es-ES"/>
        </w:rPr>
        <w:t>al lector en su comprensión, por ejemplo “Los grandes cambios sociales y</w:t>
      </w:r>
      <w:r w:rsidR="0092169F">
        <w:rPr>
          <w:lang w:val="es-ES"/>
        </w:rPr>
        <w:t xml:space="preserve"> </w:t>
      </w:r>
      <w:r w:rsidR="0092169F" w:rsidRPr="0092169F">
        <w:rPr>
          <w:lang w:val="es-ES"/>
        </w:rPr>
        <w:t>económicos han fomentado una creciente economía del conocimiento”…¿a</w:t>
      </w:r>
      <w:r w:rsidR="0092169F">
        <w:rPr>
          <w:lang w:val="es-ES"/>
        </w:rPr>
        <w:t xml:space="preserve"> </w:t>
      </w:r>
      <w:r w:rsidR="0092169F" w:rsidRPr="0092169F">
        <w:rPr>
          <w:lang w:val="es-ES"/>
        </w:rPr>
        <w:t>qué cambios sociales se refiere? ¿cuándo? ¿qué es economía del</w:t>
      </w:r>
    </w:p>
    <w:p w14:paraId="5E7702A6" w14:textId="77777777" w:rsidR="0092169F" w:rsidRDefault="0092169F" w:rsidP="0092169F">
      <w:pPr>
        <w:jc w:val="both"/>
        <w:rPr>
          <w:lang w:val="es-ES"/>
        </w:rPr>
      </w:pPr>
      <w:r w:rsidRPr="0092169F">
        <w:rPr>
          <w:lang w:val="es-ES"/>
        </w:rPr>
        <w:t>conocimiento?</w:t>
      </w:r>
    </w:p>
    <w:p w14:paraId="16AD72A6" w14:textId="77777777" w:rsidR="0092169F" w:rsidRDefault="0092169F" w:rsidP="0092169F">
      <w:pPr>
        <w:jc w:val="both"/>
        <w:rPr>
          <w:lang w:val="es-ES"/>
        </w:rPr>
      </w:pPr>
    </w:p>
    <w:p w14:paraId="171403B4" w14:textId="77777777" w:rsidR="0092169F" w:rsidRDefault="0092169F" w:rsidP="0092169F">
      <w:pPr>
        <w:jc w:val="both"/>
        <w:rPr>
          <w:lang w:val="es-ES"/>
        </w:rPr>
      </w:pPr>
      <w:r>
        <w:rPr>
          <w:lang w:val="es-ES"/>
        </w:rPr>
        <w:t>Respuesta de los autores:</w:t>
      </w:r>
      <w:r w:rsidR="003C4111">
        <w:rPr>
          <w:lang w:val="es-ES"/>
        </w:rPr>
        <w:t xml:space="preserve"> El revisor tiene razón y hemos incluido el siguiente texto para responder a la interrogante planteada:</w:t>
      </w:r>
    </w:p>
    <w:p w14:paraId="75DEC91C" w14:textId="77777777" w:rsidR="003C4111" w:rsidRDefault="003C4111" w:rsidP="0092169F">
      <w:pPr>
        <w:jc w:val="both"/>
        <w:rPr>
          <w:lang w:val="es-ES"/>
        </w:rPr>
      </w:pPr>
    </w:p>
    <w:p w14:paraId="7ED62444" w14:textId="77777777" w:rsidR="00265BE6" w:rsidRPr="003C4111" w:rsidRDefault="00265BE6" w:rsidP="003C4111">
      <w:pPr>
        <w:widowControl w:val="0"/>
        <w:autoSpaceDE w:val="0"/>
        <w:autoSpaceDN w:val="0"/>
        <w:adjustRightInd w:val="0"/>
        <w:spacing w:line="276" w:lineRule="auto"/>
        <w:jc w:val="both"/>
        <w:rPr>
          <w:rFonts w:ascii="Arial" w:hAnsi="Arial" w:cs="Arial"/>
          <w:color w:val="0070C0"/>
          <w:sz w:val="22"/>
          <w:szCs w:val="22"/>
        </w:rPr>
      </w:pPr>
      <w:r w:rsidRPr="003C4111">
        <w:rPr>
          <w:rFonts w:ascii="Arial" w:hAnsi="Arial" w:cs="Arial"/>
          <w:color w:val="0070C0"/>
          <w:sz w:val="22"/>
          <w:szCs w:val="22"/>
        </w:rPr>
        <w:t xml:space="preserve">La </w:t>
      </w:r>
      <w:proofErr w:type="spellStart"/>
      <w:r w:rsidRPr="003C4111">
        <w:rPr>
          <w:rFonts w:ascii="Arial" w:hAnsi="Arial" w:cs="Arial"/>
          <w:color w:val="0070C0"/>
          <w:sz w:val="22"/>
          <w:szCs w:val="22"/>
        </w:rPr>
        <w:t>hiper</w:t>
      </w:r>
      <w:proofErr w:type="spellEnd"/>
      <w:r w:rsidRPr="003C4111">
        <w:rPr>
          <w:rFonts w:ascii="Arial" w:hAnsi="Arial" w:cs="Arial"/>
          <w:color w:val="0070C0"/>
          <w:sz w:val="22"/>
          <w:szCs w:val="22"/>
        </w:rPr>
        <w:t xml:space="preserve"> información y comunicación que ofrece el mundo digital de la actualidad, no aclara por si misma el mundo y su realidad, contrario a ello, la hace parecer más intrincada y oculta en su verdad (</w:t>
      </w:r>
      <w:proofErr w:type="spellStart"/>
      <w:r w:rsidRPr="003C4111">
        <w:rPr>
          <w:rFonts w:ascii="Arial" w:hAnsi="Arial" w:cs="Arial"/>
          <w:color w:val="0070C0"/>
          <w:sz w:val="22"/>
          <w:szCs w:val="22"/>
        </w:rPr>
        <w:t>Byung-Chul</w:t>
      </w:r>
      <w:proofErr w:type="spellEnd"/>
      <w:r w:rsidRPr="003C4111">
        <w:rPr>
          <w:rFonts w:ascii="Arial" w:hAnsi="Arial" w:cs="Arial"/>
          <w:color w:val="0070C0"/>
          <w:sz w:val="22"/>
          <w:szCs w:val="22"/>
        </w:rPr>
        <w:t xml:space="preserve"> Han, 2013), el Big Data por mucha información que entregue, no ofrece autoconsciencia, no cuenta nada del Yo, y sin ello, sin esa fundación conceptual, no es posible construir conocimiento (</w:t>
      </w:r>
      <w:proofErr w:type="spellStart"/>
      <w:r w:rsidRPr="003C4111">
        <w:rPr>
          <w:rFonts w:ascii="Arial" w:hAnsi="Arial" w:cs="Arial"/>
          <w:color w:val="0070C0"/>
          <w:sz w:val="22"/>
          <w:szCs w:val="22"/>
        </w:rPr>
        <w:t>Byung-Chul</w:t>
      </w:r>
      <w:proofErr w:type="spellEnd"/>
      <w:r w:rsidRPr="003C4111">
        <w:rPr>
          <w:rFonts w:ascii="Arial" w:hAnsi="Arial" w:cs="Arial"/>
          <w:color w:val="0070C0"/>
          <w:sz w:val="22"/>
          <w:szCs w:val="22"/>
        </w:rPr>
        <w:t xml:space="preserve"> Han, 2014). Es por ello que la conjunción de saberes que se discuten desde el diálogo e interrelaciones personales y disciplinarias, habilita la creación e integración del conocimiento que colaboran para comprender la realidad que afrontan los sujetos en su vejez. El tema del envejecimiento es especialmente integrador para prácticamente todas las disciplinas ya que se constituirá prontamente, en el gran cambio social de todos los países (Magnus, 2011) y por ello, requiere este nivel de comprensión. </w:t>
      </w:r>
      <w:r w:rsidR="003C4111" w:rsidRPr="003C4111">
        <w:rPr>
          <w:rFonts w:ascii="Arial" w:hAnsi="Arial" w:cs="Arial"/>
          <w:color w:val="0070C0"/>
          <w:sz w:val="22"/>
          <w:szCs w:val="22"/>
        </w:rPr>
        <w:t xml:space="preserve"> </w:t>
      </w:r>
      <w:r w:rsidRPr="003C4111">
        <w:rPr>
          <w:rFonts w:ascii="Arial" w:hAnsi="Arial" w:cs="Arial"/>
          <w:color w:val="0070C0"/>
          <w:sz w:val="22"/>
          <w:szCs w:val="22"/>
        </w:rPr>
        <w:t>La creación y la integración del conocimiento son por lo tanto, cruciales en el diseño colaborativo, donde diferentes disciplinas, enfoques metodológicos y habilidades se unen. Aquí, la comunicación en su complejidad dialógica es clave</w:t>
      </w:r>
      <w:r w:rsidRPr="003C4111" w:rsidDel="006364AB">
        <w:rPr>
          <w:rFonts w:ascii="Arial" w:hAnsi="Arial" w:cs="Arial"/>
          <w:color w:val="0070C0"/>
          <w:sz w:val="22"/>
          <w:szCs w:val="22"/>
        </w:rPr>
        <w:t xml:space="preserve"> </w:t>
      </w:r>
      <w:r w:rsidRPr="003C4111">
        <w:rPr>
          <w:rFonts w:ascii="Arial" w:hAnsi="Arial" w:cs="Arial"/>
          <w:color w:val="0070C0"/>
          <w:sz w:val="22"/>
          <w:szCs w:val="22"/>
        </w:rPr>
        <w:t>.</w:t>
      </w:r>
    </w:p>
    <w:p w14:paraId="783A3086" w14:textId="77777777" w:rsidR="0092169F" w:rsidRDefault="0092169F" w:rsidP="0092169F">
      <w:pPr>
        <w:jc w:val="both"/>
        <w:rPr>
          <w:lang w:val="es-ES"/>
        </w:rPr>
      </w:pPr>
    </w:p>
    <w:p w14:paraId="6B646D34" w14:textId="77777777" w:rsidR="002B13C3" w:rsidRPr="0092169F" w:rsidRDefault="002B13C3" w:rsidP="0092169F">
      <w:pPr>
        <w:jc w:val="both"/>
        <w:rPr>
          <w:lang w:val="es-ES"/>
        </w:rPr>
      </w:pPr>
    </w:p>
    <w:p w14:paraId="06BE4CB8" w14:textId="77777777" w:rsidR="0092169F" w:rsidRDefault="008A40ED" w:rsidP="0092169F">
      <w:pPr>
        <w:jc w:val="both"/>
        <w:rPr>
          <w:lang w:val="es-ES"/>
        </w:rPr>
      </w:pPr>
      <w:r>
        <w:rPr>
          <w:lang w:val="es-ES"/>
        </w:rPr>
        <w:t>Comentario 6</w:t>
      </w:r>
      <w:r w:rsidR="0092169F">
        <w:rPr>
          <w:lang w:val="es-ES"/>
        </w:rPr>
        <w:t xml:space="preserve">: </w:t>
      </w:r>
      <w:r w:rsidR="0092169F" w:rsidRPr="0092169F">
        <w:rPr>
          <w:lang w:val="es-ES"/>
        </w:rPr>
        <w:t>En la página 5, el autor afirma que “uno de los principales motores</w:t>
      </w:r>
      <w:r w:rsidR="0092169F">
        <w:rPr>
          <w:lang w:val="es-ES"/>
        </w:rPr>
        <w:t xml:space="preserve"> </w:t>
      </w:r>
      <w:r w:rsidR="0092169F" w:rsidRPr="0092169F">
        <w:rPr>
          <w:lang w:val="es-ES"/>
        </w:rPr>
        <w:t>del conocimiento científico en la actualidad, se ha asociado a la</w:t>
      </w:r>
      <w:r w:rsidR="0092169F">
        <w:rPr>
          <w:lang w:val="es-ES"/>
        </w:rPr>
        <w:t xml:space="preserve"> </w:t>
      </w:r>
      <w:proofErr w:type="spellStart"/>
      <w:r w:rsidR="0092169F" w:rsidRPr="0092169F">
        <w:rPr>
          <w:lang w:val="es-ES"/>
        </w:rPr>
        <w:t>desmedicalización</w:t>
      </w:r>
      <w:proofErr w:type="spellEnd"/>
      <w:r w:rsidR="0092169F" w:rsidRPr="0092169F">
        <w:rPr>
          <w:lang w:val="es-ES"/>
        </w:rPr>
        <w:t>”, pero falta una cita. Este argumento podría ser</w:t>
      </w:r>
      <w:r w:rsidR="0092169F">
        <w:rPr>
          <w:lang w:val="es-ES"/>
        </w:rPr>
        <w:t xml:space="preserve"> </w:t>
      </w:r>
      <w:r w:rsidR="0092169F" w:rsidRPr="0092169F">
        <w:rPr>
          <w:lang w:val="es-ES"/>
        </w:rPr>
        <w:t>rebatido.</w:t>
      </w:r>
    </w:p>
    <w:p w14:paraId="4D91E6D1" w14:textId="77777777" w:rsidR="0092169F" w:rsidRDefault="0092169F" w:rsidP="0092169F">
      <w:pPr>
        <w:jc w:val="both"/>
        <w:rPr>
          <w:lang w:val="es-ES"/>
        </w:rPr>
      </w:pPr>
    </w:p>
    <w:p w14:paraId="7150ADB3" w14:textId="77777777" w:rsidR="0092169F" w:rsidRDefault="0092169F" w:rsidP="0092169F">
      <w:pPr>
        <w:jc w:val="both"/>
        <w:rPr>
          <w:lang w:val="es-ES"/>
        </w:rPr>
      </w:pPr>
      <w:r>
        <w:rPr>
          <w:lang w:val="es-ES"/>
        </w:rPr>
        <w:t>Respuesta de los autores:</w:t>
      </w:r>
      <w:r w:rsidR="00C1064C">
        <w:rPr>
          <w:lang w:val="es-ES"/>
        </w:rPr>
        <w:t xml:space="preserve"> </w:t>
      </w:r>
      <w:r w:rsidR="008627D3" w:rsidRPr="0085511D">
        <w:rPr>
          <w:color w:val="000000" w:themeColor="text1"/>
          <w:lang w:val="es-ES"/>
        </w:rPr>
        <w:t>La idea en cuestión es del texto de Pellegrini (1994) que se encuentra citado. No obstante, hemos extendido</w:t>
      </w:r>
      <w:r w:rsidR="00C1064C" w:rsidRPr="0085511D">
        <w:rPr>
          <w:color w:val="000000" w:themeColor="text1"/>
          <w:lang w:val="es-ES"/>
        </w:rPr>
        <w:t xml:space="preserve"> </w:t>
      </w:r>
      <w:r w:rsidR="008627D3" w:rsidRPr="0085511D">
        <w:rPr>
          <w:color w:val="000000" w:themeColor="text1"/>
          <w:lang w:val="es-ES"/>
        </w:rPr>
        <w:t>este</w:t>
      </w:r>
      <w:r w:rsidR="00C1064C" w:rsidRPr="0085511D">
        <w:rPr>
          <w:color w:val="000000" w:themeColor="text1"/>
          <w:lang w:val="es-ES"/>
        </w:rPr>
        <w:t xml:space="preserve"> argumento para sustentarlo quedando de la siguiente manera en el texto:</w:t>
      </w:r>
    </w:p>
    <w:p w14:paraId="3F249AB2" w14:textId="77777777" w:rsidR="00C1064C" w:rsidRDefault="00C1064C" w:rsidP="0092169F">
      <w:pPr>
        <w:jc w:val="both"/>
        <w:rPr>
          <w:lang w:val="es-ES"/>
        </w:rPr>
      </w:pPr>
    </w:p>
    <w:p w14:paraId="7A4F8370" w14:textId="77777777" w:rsidR="00704988" w:rsidRPr="0065154D" w:rsidRDefault="008627D3" w:rsidP="00704988">
      <w:pPr>
        <w:widowControl w:val="0"/>
        <w:autoSpaceDE w:val="0"/>
        <w:autoSpaceDN w:val="0"/>
        <w:adjustRightInd w:val="0"/>
        <w:spacing w:line="276" w:lineRule="auto"/>
        <w:jc w:val="both"/>
        <w:rPr>
          <w:rFonts w:ascii="Arial" w:hAnsi="Arial" w:cs="Arial"/>
          <w:color w:val="0070C0"/>
          <w:sz w:val="22"/>
          <w:szCs w:val="22"/>
          <w:lang w:val="es-ES"/>
        </w:rPr>
      </w:pPr>
      <w:r>
        <w:rPr>
          <w:rFonts w:ascii="Arial" w:hAnsi="Arial" w:cs="Arial"/>
          <w:color w:val="0070C0"/>
          <w:sz w:val="22"/>
          <w:szCs w:val="22"/>
        </w:rPr>
        <w:t xml:space="preserve">Adicionalmente, la </w:t>
      </w:r>
      <w:proofErr w:type="spellStart"/>
      <w:r>
        <w:rPr>
          <w:rFonts w:ascii="Arial" w:hAnsi="Arial" w:cs="Arial"/>
          <w:color w:val="0070C0"/>
          <w:sz w:val="22"/>
          <w:szCs w:val="22"/>
        </w:rPr>
        <w:t>desmedicalización</w:t>
      </w:r>
      <w:proofErr w:type="spellEnd"/>
      <w:r>
        <w:rPr>
          <w:rFonts w:ascii="Arial" w:hAnsi="Arial" w:cs="Arial"/>
          <w:color w:val="0070C0"/>
          <w:sz w:val="22"/>
          <w:szCs w:val="22"/>
        </w:rPr>
        <w:t xml:space="preserve">, como </w:t>
      </w:r>
      <w:r w:rsidR="00704988" w:rsidRPr="0065154D">
        <w:rPr>
          <w:rFonts w:ascii="Arial" w:hAnsi="Arial" w:cs="Arial"/>
          <w:color w:val="0070C0"/>
          <w:sz w:val="22"/>
          <w:szCs w:val="22"/>
        </w:rPr>
        <w:t>enfoque</w:t>
      </w:r>
      <w:r>
        <w:rPr>
          <w:rFonts w:ascii="Arial" w:hAnsi="Arial" w:cs="Arial"/>
          <w:color w:val="0070C0"/>
          <w:sz w:val="22"/>
          <w:szCs w:val="22"/>
        </w:rPr>
        <w:t>,</w:t>
      </w:r>
      <w:r w:rsidR="00704988" w:rsidRPr="0065154D">
        <w:rPr>
          <w:rFonts w:ascii="Arial" w:hAnsi="Arial" w:cs="Arial"/>
          <w:color w:val="0070C0"/>
          <w:sz w:val="22"/>
          <w:szCs w:val="22"/>
        </w:rPr>
        <w:t xml:space="preserve"> quiebra el paradigma del </w:t>
      </w:r>
      <w:r w:rsidR="00704988" w:rsidRPr="0065154D">
        <w:rPr>
          <w:rFonts w:ascii="Arial" w:hAnsi="Arial" w:cs="Arial"/>
          <w:color w:val="0070C0"/>
          <w:sz w:val="22"/>
          <w:szCs w:val="22"/>
        </w:rPr>
        <w:lastRenderedPageBreak/>
        <w:t>paternalismo y la deshumanización que normaliza a la población como seres homogéneos en sus necesidades, coincidente con la corriente bioética moderna y que surge desde el posmodernismo, donde la individualización y la autonomía es parte de la libertad (Díaz, 2014), Esto implica que cada sujeto es referente de sí mismo y por lo tanto, su voz es importante, por ello, resulta además lógico comprender que cualquier intervención dirigida a los adultos mayores, implica desde un inicio el acto de escucharlos y actuar en consecuencia.</w:t>
      </w:r>
    </w:p>
    <w:p w14:paraId="57726BA7" w14:textId="77777777" w:rsidR="00704988" w:rsidRPr="0092169F" w:rsidRDefault="00704988" w:rsidP="0092169F">
      <w:pPr>
        <w:jc w:val="both"/>
        <w:rPr>
          <w:lang w:val="es-ES"/>
        </w:rPr>
      </w:pPr>
    </w:p>
    <w:p w14:paraId="5B98CB32" w14:textId="77777777" w:rsidR="0092169F" w:rsidRPr="00096BA1" w:rsidRDefault="0092169F" w:rsidP="0092169F">
      <w:pPr>
        <w:jc w:val="both"/>
        <w:rPr>
          <w:lang w:val="es-ES"/>
        </w:rPr>
      </w:pPr>
    </w:p>
    <w:sectPr w:rsidR="0092169F" w:rsidRPr="00096BA1" w:rsidSect="005C4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A1"/>
    <w:rsid w:val="000148E1"/>
    <w:rsid w:val="00073CB7"/>
    <w:rsid w:val="00096BA1"/>
    <w:rsid w:val="000C0911"/>
    <w:rsid w:val="001A7CE3"/>
    <w:rsid w:val="001B0A72"/>
    <w:rsid w:val="00202E8F"/>
    <w:rsid w:val="00265BE6"/>
    <w:rsid w:val="002B13C3"/>
    <w:rsid w:val="002C31D0"/>
    <w:rsid w:val="002D30CF"/>
    <w:rsid w:val="002F76EB"/>
    <w:rsid w:val="0035045F"/>
    <w:rsid w:val="00361E91"/>
    <w:rsid w:val="00365260"/>
    <w:rsid w:val="003C4111"/>
    <w:rsid w:val="00432108"/>
    <w:rsid w:val="00471D91"/>
    <w:rsid w:val="004A4188"/>
    <w:rsid w:val="004D082E"/>
    <w:rsid w:val="004F6D2A"/>
    <w:rsid w:val="0054208B"/>
    <w:rsid w:val="005C44EA"/>
    <w:rsid w:val="005E0135"/>
    <w:rsid w:val="006166DB"/>
    <w:rsid w:val="0065154D"/>
    <w:rsid w:val="006941A0"/>
    <w:rsid w:val="00704988"/>
    <w:rsid w:val="007066F8"/>
    <w:rsid w:val="0072609D"/>
    <w:rsid w:val="00797247"/>
    <w:rsid w:val="007B2AC0"/>
    <w:rsid w:val="008077BA"/>
    <w:rsid w:val="0085511D"/>
    <w:rsid w:val="008627D3"/>
    <w:rsid w:val="00885945"/>
    <w:rsid w:val="008A40ED"/>
    <w:rsid w:val="008B01D3"/>
    <w:rsid w:val="008B1235"/>
    <w:rsid w:val="008C5B5F"/>
    <w:rsid w:val="0092169F"/>
    <w:rsid w:val="00930A8D"/>
    <w:rsid w:val="00947E53"/>
    <w:rsid w:val="00A703DB"/>
    <w:rsid w:val="00A7087A"/>
    <w:rsid w:val="00A97A81"/>
    <w:rsid w:val="00AB0CF6"/>
    <w:rsid w:val="00B8237E"/>
    <w:rsid w:val="00C1064C"/>
    <w:rsid w:val="00C70B37"/>
    <w:rsid w:val="00C8276A"/>
    <w:rsid w:val="00DE3796"/>
    <w:rsid w:val="00E76548"/>
    <w:rsid w:val="00E80EA6"/>
    <w:rsid w:val="00F552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D68C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7717">
      <w:bodyDiv w:val="1"/>
      <w:marLeft w:val="0"/>
      <w:marRight w:val="0"/>
      <w:marTop w:val="0"/>
      <w:marBottom w:val="0"/>
      <w:divBdr>
        <w:top w:val="none" w:sz="0" w:space="0" w:color="auto"/>
        <w:left w:val="none" w:sz="0" w:space="0" w:color="auto"/>
        <w:bottom w:val="none" w:sz="0" w:space="0" w:color="auto"/>
        <w:right w:val="none" w:sz="0" w:space="0" w:color="auto"/>
      </w:divBdr>
    </w:div>
    <w:div w:id="280503246">
      <w:bodyDiv w:val="1"/>
      <w:marLeft w:val="0"/>
      <w:marRight w:val="0"/>
      <w:marTop w:val="0"/>
      <w:marBottom w:val="0"/>
      <w:divBdr>
        <w:top w:val="none" w:sz="0" w:space="0" w:color="auto"/>
        <w:left w:val="none" w:sz="0" w:space="0" w:color="auto"/>
        <w:bottom w:val="none" w:sz="0" w:space="0" w:color="auto"/>
        <w:right w:val="none" w:sz="0" w:space="0" w:color="auto"/>
      </w:divBdr>
    </w:div>
    <w:div w:id="631251361">
      <w:bodyDiv w:val="1"/>
      <w:marLeft w:val="0"/>
      <w:marRight w:val="0"/>
      <w:marTop w:val="0"/>
      <w:marBottom w:val="0"/>
      <w:divBdr>
        <w:top w:val="none" w:sz="0" w:space="0" w:color="auto"/>
        <w:left w:val="none" w:sz="0" w:space="0" w:color="auto"/>
        <w:bottom w:val="none" w:sz="0" w:space="0" w:color="auto"/>
        <w:right w:val="none" w:sz="0" w:space="0" w:color="auto"/>
      </w:divBdr>
    </w:div>
    <w:div w:id="1044871992">
      <w:bodyDiv w:val="1"/>
      <w:marLeft w:val="0"/>
      <w:marRight w:val="0"/>
      <w:marTop w:val="0"/>
      <w:marBottom w:val="0"/>
      <w:divBdr>
        <w:top w:val="none" w:sz="0" w:space="0" w:color="auto"/>
        <w:left w:val="none" w:sz="0" w:space="0" w:color="auto"/>
        <w:bottom w:val="none" w:sz="0" w:space="0" w:color="auto"/>
        <w:right w:val="none" w:sz="0" w:space="0" w:color="auto"/>
      </w:divBdr>
    </w:div>
    <w:div w:id="1542941186">
      <w:bodyDiv w:val="1"/>
      <w:marLeft w:val="0"/>
      <w:marRight w:val="0"/>
      <w:marTop w:val="0"/>
      <w:marBottom w:val="0"/>
      <w:divBdr>
        <w:top w:val="none" w:sz="0" w:space="0" w:color="auto"/>
        <w:left w:val="none" w:sz="0" w:space="0" w:color="auto"/>
        <w:bottom w:val="none" w:sz="0" w:space="0" w:color="auto"/>
        <w:right w:val="none" w:sz="0" w:space="0" w:color="auto"/>
      </w:divBdr>
      <w:divsChild>
        <w:div w:id="1422868350">
          <w:marLeft w:val="0"/>
          <w:marRight w:val="0"/>
          <w:marTop w:val="0"/>
          <w:marBottom w:val="0"/>
          <w:divBdr>
            <w:top w:val="none" w:sz="0" w:space="0" w:color="auto"/>
            <w:left w:val="none" w:sz="0" w:space="0" w:color="auto"/>
            <w:bottom w:val="none" w:sz="0" w:space="0" w:color="auto"/>
            <w:right w:val="none" w:sz="0" w:space="0" w:color="auto"/>
          </w:divBdr>
        </w:div>
      </w:divsChild>
    </w:div>
    <w:div w:id="1566601956">
      <w:bodyDiv w:val="1"/>
      <w:marLeft w:val="0"/>
      <w:marRight w:val="0"/>
      <w:marTop w:val="0"/>
      <w:marBottom w:val="0"/>
      <w:divBdr>
        <w:top w:val="none" w:sz="0" w:space="0" w:color="auto"/>
        <w:left w:val="none" w:sz="0" w:space="0" w:color="auto"/>
        <w:bottom w:val="none" w:sz="0" w:space="0" w:color="auto"/>
        <w:right w:val="none" w:sz="0" w:space="0" w:color="auto"/>
      </w:divBdr>
    </w:div>
    <w:div w:id="19800396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8821</Characters>
  <Application>Microsoft Macintosh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2017-10-31T01:48:00Z</dcterms:created>
  <dcterms:modified xsi:type="dcterms:W3CDTF">2017-10-31T01:48:00Z</dcterms:modified>
</cp:coreProperties>
</file>