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76"/>
        <w:jc w:val="left"/>
        <w:rPr/>
      </w:pPr>
      <w:r>
        <w:rPr>
          <w:rFonts w:ascii="Arial" w:hAnsi="Arial"/>
          <w:sz w:val="22"/>
          <w:szCs w:val="22"/>
        </w:rPr>
        <w:t>Primero que todo, agradecer a las personas que han comentado este artículo por sus valiosas observaciones. Sobre estas sugerencias me gustaría decir lo siguiente:</w:t>
      </w:r>
    </w:p>
    <w:p>
      <w:pPr>
        <w:pStyle w:val="Normal"/>
        <w:bidi w:val="0"/>
        <w:spacing w:lineRule="auto" w:line="276"/>
        <w:jc w:val="left"/>
        <w:rPr>
          <w:rFonts w:ascii="Arial" w:hAnsi="Arial"/>
          <w:sz w:val="22"/>
          <w:szCs w:val="22"/>
        </w:rPr>
      </w:pPr>
      <w:r>
        <w:rPr>
          <w:rFonts w:ascii="Arial" w:hAnsi="Arial"/>
          <w:sz w:val="22"/>
          <w:szCs w:val="22"/>
        </w:rPr>
      </w:r>
    </w:p>
    <w:p>
      <w:pPr>
        <w:pStyle w:val="Normal"/>
        <w:bidi w:val="0"/>
        <w:spacing w:lineRule="auto" w:line="276"/>
        <w:jc w:val="left"/>
        <w:rPr/>
      </w:pPr>
      <w:r>
        <w:rPr>
          <w:rFonts w:ascii="Arial" w:hAnsi="Arial"/>
          <w:sz w:val="22"/>
          <w:szCs w:val="22"/>
        </w:rPr>
        <w:t>1. El resumen y las conclusiones fueron reformadas para dar una mayor claridad en cada una de estas partes.</w:t>
      </w:r>
    </w:p>
    <w:p>
      <w:pPr>
        <w:pStyle w:val="Normal"/>
        <w:bidi w:val="0"/>
        <w:spacing w:lineRule="auto" w:line="276"/>
        <w:jc w:val="left"/>
        <w:rPr>
          <w:rFonts w:ascii="Arial" w:hAnsi="Arial"/>
          <w:sz w:val="22"/>
          <w:szCs w:val="22"/>
        </w:rPr>
      </w:pPr>
      <w:r>
        <w:rPr>
          <w:rFonts w:ascii="Arial" w:hAnsi="Arial"/>
          <w:sz w:val="22"/>
          <w:szCs w:val="22"/>
        </w:rPr>
      </w:r>
    </w:p>
    <w:p>
      <w:pPr>
        <w:pStyle w:val="Normal"/>
        <w:bidi w:val="0"/>
        <w:spacing w:lineRule="auto" w:line="276"/>
        <w:jc w:val="left"/>
        <w:rPr/>
      </w:pPr>
      <w:r>
        <w:rPr>
          <w:rFonts w:ascii="Arial" w:hAnsi="Arial"/>
          <w:sz w:val="22"/>
          <w:szCs w:val="22"/>
        </w:rPr>
        <w:t>2. “</w:t>
      </w:r>
      <w:r>
        <w:rPr>
          <w:rFonts w:ascii="Arial" w:hAnsi="Arial"/>
          <w:sz w:val="22"/>
        </w:rPr>
        <w:t>Se sugiere revisar la calidad del material gráfico.”</w:t>
      </w:r>
    </w:p>
    <w:p>
      <w:pPr>
        <w:pStyle w:val="Normal"/>
        <w:bidi w:val="0"/>
        <w:spacing w:lineRule="auto" w:line="276"/>
        <w:ind w:left="567" w:right="0" w:hanging="0"/>
        <w:jc w:val="left"/>
        <w:rPr/>
      </w:pPr>
      <w:r>
        <w:rPr>
          <w:rFonts w:ascii="Arial" w:hAnsi="Arial"/>
          <w:sz w:val="22"/>
          <w:szCs w:val="22"/>
        </w:rPr>
        <w:t xml:space="preserve">Rta:/ decidí pedir las imágenes directamente a los/as artistas de las obras que me parecían más relevantes para ilustrar los argumentos del artículo. Por ello dependí completamente de los permisos y de las imágenes de quienes respondieron a mis correos. Creo que las figuras permiten hacerse una idea del contenido de las obras de arte y cumplen con su objetivo acompañando el artículo; sin embargo, e intentado dar cuenta de los comentarios, </w:t>
      </w:r>
      <w:r>
        <w:rPr>
          <w:rFonts w:eastAsia="Songti SC" w:cs="Arial Unicode MS" w:ascii="Arial" w:hAnsi="Arial"/>
          <w:color w:val="auto"/>
          <w:kern w:val="2"/>
          <w:sz w:val="22"/>
          <w:szCs w:val="22"/>
          <w:lang w:val="es-ES" w:eastAsia="zh-CN" w:bidi="hi-IN"/>
        </w:rPr>
        <w:t>añadí un par de imágenes de otra de las obras reseñadas, aprovechando que me otorgaron hace poco los derechos para reproducirlas.</w:t>
      </w:r>
    </w:p>
    <w:p>
      <w:pPr>
        <w:pStyle w:val="Normal"/>
        <w:bidi w:val="0"/>
        <w:spacing w:lineRule="auto" w:line="276"/>
        <w:jc w:val="left"/>
        <w:rPr>
          <w:rFonts w:ascii="Arial" w:hAnsi="Arial"/>
          <w:sz w:val="22"/>
          <w:szCs w:val="22"/>
        </w:rPr>
      </w:pPr>
      <w:r>
        <w:rPr>
          <w:rFonts w:ascii="Arial" w:hAnsi="Arial"/>
          <w:sz w:val="22"/>
          <w:szCs w:val="22"/>
        </w:rPr>
      </w:r>
    </w:p>
    <w:p>
      <w:pPr>
        <w:pStyle w:val="Normal"/>
        <w:bidi w:val="0"/>
        <w:spacing w:lineRule="auto" w:line="276"/>
        <w:jc w:val="left"/>
        <w:rPr/>
      </w:pPr>
      <w:r>
        <w:rPr>
          <w:rFonts w:ascii="Arial" w:hAnsi="Arial"/>
          <w:sz w:val="22"/>
          <w:szCs w:val="22"/>
        </w:rPr>
        <w:t>3. Uno de los comentarios dice: “Hay afirmaciones controversiales y no desarrolladas como: (…)“la visión por computador ha sobrepasado aquella de las capacidades humanas”(..). si bien la frase define el campo de esa superación no se hace cargo de la fundamental diferencia entre “visión” de humano y máquina (si es que puede decirse que una máquina “ve”). Esa diferencia ha sido desarrollada por John Searle en su experimento mental La pieza china.”</w:t>
      </w:r>
    </w:p>
    <w:p>
      <w:pPr>
        <w:pStyle w:val="Normal"/>
        <w:bidi w:val="0"/>
        <w:spacing w:lineRule="auto" w:line="276"/>
        <w:jc w:val="left"/>
        <w:rPr>
          <w:rFonts w:ascii="Arial" w:hAnsi="Arial"/>
          <w:sz w:val="22"/>
          <w:szCs w:val="22"/>
        </w:rPr>
      </w:pPr>
      <w:r>
        <w:rPr>
          <w:rFonts w:ascii="Arial" w:hAnsi="Arial"/>
          <w:sz w:val="22"/>
          <w:szCs w:val="22"/>
        </w:rPr>
      </w:r>
    </w:p>
    <w:p>
      <w:pPr>
        <w:pStyle w:val="Normal"/>
        <w:bidi w:val="0"/>
        <w:spacing w:lineRule="auto" w:line="276"/>
        <w:ind w:left="624" w:right="0" w:hanging="0"/>
        <w:jc w:val="left"/>
        <w:rPr/>
      </w:pPr>
      <w:r>
        <w:rPr>
          <w:rFonts w:ascii="Arial" w:hAnsi="Arial"/>
          <w:sz w:val="22"/>
          <w:szCs w:val="22"/>
        </w:rPr>
        <w:t>Rta:/ Estoy de acuerdo en que esta frase podría mejorarse para aclarar más su sentido. Por ello he decidido redactarla de esta manera: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La eficacia y exactitud de las redes neuronales artificiales en la clasificación de los datos visuales han sobrepasado aquellas de las capacidades humanas, apuntalando al mismo tiempo, y con toda exactitud, una mirada colonial sobre personas y grupos humanos históricamente discriminados.” Con esta redacción queda claro que la clasificación de datos visuales es la capacidad a la que se refiere el artículo y respecto a la cual la máquina supera hoy en día al ser humano. Creo que no es necesario en el ámbito de este artículo internarse en un debate sobre si podemos hablar de visión cuando nos referimos a la visión por computador. Y así lo pienso principalmente porque en ninguna parte del artículo se propone igualar la visión humana con la visión algorítmica. Cuando se habla de visión por computador se entiende por lo general una forma de captar y procesar los datos que son visuales para los seres humanos, lo cual no implica igualar la visión de la máquina con la visión humana. Y creo que, en este caso, no se aplican las reflexiones de Searle sobre el cuarto chino, ya que la discusión del autor no es si las máquinas ven igual que el ser humano, sino si las máquinas en realidad pueden llegar a pensar, lo cual es una discusión completamente diferente. Si bien la visión está relacionada estrechamente con el pensamiento, en el ejemplo de Searle la máquina </w:t>
        <w:tab/>
        <w:t xml:space="preserve">podría </w:t>
        <w:tab/>
        <w:t xml:space="preserve">estar ciega y </w:t>
        <w:tab/>
        <w:t>leer las cartas en chino por medios no visuales. Y a este respecto la discusión sería siendo la misma: ¿las máquinas pueden llegar a pensar?</w:t>
      </w:r>
    </w:p>
    <w:p>
      <w:pPr>
        <w:pStyle w:val="Normal"/>
        <w:bidi w:val="0"/>
        <w:spacing w:lineRule="auto" w:line="276"/>
        <w:jc w:val="left"/>
        <w:rPr>
          <w:rFonts w:ascii="Arial" w:hAnsi="Arial" w:eastAsia="Songti SC" w:cs="Arial Unicode MS"/>
          <w:b w:val="false"/>
          <w:b w:val="false"/>
          <w:bCs w:val="false"/>
          <w:i w:val="false"/>
          <w:i w:val="false"/>
          <w:iCs w:val="false"/>
          <w:color w:val="000000"/>
          <w:kern w:val="2"/>
          <w:sz w:val="22"/>
          <w:szCs w:val="22"/>
          <w:lang w:val="es-ES" w:eastAsia="zh-CN" w:bidi="hi-IN"/>
        </w:rPr>
      </w:pPr>
      <w:r>
        <w:rPr>
          <w:rFonts w:eastAsia="Songti SC" w:cs="Arial Unicode MS" w:ascii="Arial" w:hAnsi="Arial"/>
          <w:b w:val="false"/>
          <w:bCs w:val="false"/>
          <w:i w:val="false"/>
          <w:iCs w:val="false"/>
          <w:color w:val="000000"/>
          <w:kern w:val="2"/>
          <w:sz w:val="22"/>
          <w:szCs w:val="22"/>
          <w:lang w:val="es-ES" w:eastAsia="zh-CN" w:bidi="hi-IN"/>
        </w:rPr>
      </w:r>
    </w:p>
    <w:p>
      <w:pPr>
        <w:pStyle w:val="Normal"/>
        <w:bidi w:val="0"/>
        <w:spacing w:lineRule="auto" w:line="276"/>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4. Uno de los comentarios dice: “pienso que debe estructurarse mejor el relato con definiciones más profundas de qué se entiende por objetivismo, discriminación, estética y lógica de lo cuantitativo, etc. ¿Es el objetivismo una especie de realismo científico? ¿Qué es? Por cuestiones metodológicas tales definiciones debieran ir al inicio del artículo.</w:t>
      </w:r>
    </w:p>
    <w:p>
      <w:pPr>
        <w:pStyle w:val="Normal"/>
        <w:bidi w:val="0"/>
        <w:spacing w:lineRule="auto" w:line="276"/>
        <w:jc w:val="left"/>
        <w:rPr>
          <w:rFonts w:ascii="Arial" w:hAnsi="Arial" w:eastAsia="Songti SC" w:cs="Arial Unicode MS"/>
          <w:b w:val="false"/>
          <w:b w:val="false"/>
          <w:bCs w:val="false"/>
          <w:i w:val="false"/>
          <w:i w:val="false"/>
          <w:iCs w:val="false"/>
          <w:color w:val="000000"/>
          <w:kern w:val="2"/>
          <w:sz w:val="22"/>
          <w:szCs w:val="22"/>
          <w:lang w:val="es-ES" w:eastAsia="zh-CN" w:bidi="hi-IN"/>
        </w:rPr>
      </w:pPr>
      <w:r>
        <w:rPr>
          <w:rFonts w:eastAsia="Songti SC" w:cs="Arial Unicode MS" w:ascii="Arial" w:hAnsi="Arial"/>
          <w:b w:val="false"/>
          <w:bCs w:val="false"/>
          <w:i w:val="false"/>
          <w:iCs w:val="false"/>
          <w:color w:val="000000"/>
          <w:kern w:val="2"/>
          <w:sz w:val="22"/>
          <w:szCs w:val="22"/>
          <w:lang w:val="es-ES" w:eastAsia="zh-CN" w:bidi="hi-IN"/>
        </w:rPr>
      </w:r>
    </w:p>
    <w:p>
      <w:pPr>
        <w:pStyle w:val="Normal"/>
        <w:bidi w:val="0"/>
        <w:spacing w:lineRule="auto" w:line="276"/>
        <w:ind w:left="567" w:right="0" w:hanging="0"/>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 xml:space="preserve">Rta:/ Estoy de acuerdo en que se necesitaba aclarar un poco mejor el concepto de objetivismo, central a toda la argumentación del texto. Por eso añadí lo siguiente, esperando cumpla con esta tarea: </w:t>
      </w:r>
    </w:p>
    <w:p>
      <w:pPr>
        <w:pStyle w:val="Normal"/>
        <w:bidi w:val="0"/>
        <w:spacing w:lineRule="auto" w:line="276"/>
        <w:ind w:left="567" w:right="0" w:hanging="0"/>
        <w:jc w:val="left"/>
        <w:rPr>
          <w:rStyle w:val="Emphasis"/>
          <w:rFonts w:ascii="Arial" w:hAnsi="Arial" w:eastAsia="Songti SC" w:cs="Arial Unicode MS"/>
          <w:b w:val="false"/>
          <w:b w:val="false"/>
          <w:bCs w:val="false"/>
          <w:i w:val="false"/>
          <w:i w:val="false"/>
          <w:iCs w:val="false"/>
          <w:color w:val="000000"/>
          <w:kern w:val="2"/>
          <w:sz w:val="22"/>
          <w:szCs w:val="22"/>
          <w:lang w:val="es-ES" w:eastAsia="zh-CN" w:bidi="hi-IN"/>
        </w:rPr>
      </w:pPr>
      <w:r>
        <w:rPr>
          <w:rFonts w:eastAsia="Songti SC" w:cs="Arial Unicode MS" w:ascii="Arial" w:hAnsi="Arial"/>
          <w:b w:val="false"/>
          <w:bCs w:val="false"/>
          <w:i w:val="false"/>
          <w:iCs w:val="false"/>
          <w:color w:val="000000"/>
          <w:kern w:val="2"/>
          <w:sz w:val="22"/>
          <w:szCs w:val="22"/>
          <w:lang w:val="es-ES" w:eastAsia="zh-CN" w:bidi="hi-IN"/>
        </w:rPr>
      </w:r>
    </w:p>
    <w:p>
      <w:pPr>
        <w:pStyle w:val="Normal"/>
        <w:widowControl/>
        <w:suppressAutoHyphens w:val="true"/>
        <w:bidi w:val="0"/>
        <w:spacing w:lineRule="auto" w:line="276" w:before="0" w:after="0"/>
        <w:ind w:left="510" w:right="0" w:hanging="0"/>
        <w:jc w:val="both"/>
        <w:rPr/>
      </w:pPr>
      <w:r>
        <w:rPr>
          <w:rFonts w:ascii="Arial" w:hAnsi="Arial"/>
          <w:b w:val="false"/>
          <w:bCs w:val="false"/>
          <w:color w:val="auto"/>
          <w:sz w:val="22"/>
          <w:szCs w:val="22"/>
        </w:rPr>
        <w:t>“</w:t>
      </w:r>
      <w:r>
        <w:rPr>
          <w:rFonts w:ascii="Arial" w:hAnsi="Arial"/>
          <w:b w:val="false"/>
          <w:bCs w:val="false"/>
          <w:color w:val="auto"/>
          <w:sz w:val="22"/>
          <w:szCs w:val="22"/>
        </w:rPr>
        <w:t xml:space="preserve">El objetivismo </w:t>
      </w:r>
      <w:r>
        <w:rPr>
          <w:rFonts w:eastAsia="Songti SC" w:cs="Arial Unicode MS" w:ascii="Arial" w:hAnsi="Arial"/>
          <w:b w:val="false"/>
          <w:bCs w:val="false"/>
          <w:color w:val="auto"/>
          <w:kern w:val="2"/>
          <w:sz w:val="22"/>
          <w:szCs w:val="22"/>
          <w:lang w:val="es-ES" w:eastAsia="zh-CN" w:bidi="hi-IN"/>
        </w:rPr>
        <w:t>supone entonces la existencia independiente de</w:t>
      </w:r>
      <w:r>
        <w:rPr>
          <w:rFonts w:ascii="Arial" w:hAnsi="Arial"/>
          <w:b w:val="false"/>
          <w:bCs w:val="false"/>
          <w:color w:val="auto"/>
          <w:sz w:val="22"/>
          <w:szCs w:val="22"/>
        </w:rPr>
        <w:t xml:space="preserve"> </w:t>
      </w:r>
      <w:r>
        <w:rPr>
          <w:rFonts w:eastAsia="Songti SC" w:cs="Arial Unicode MS" w:ascii="Arial" w:hAnsi="Arial"/>
          <w:b w:val="false"/>
          <w:bCs w:val="false"/>
          <w:color w:val="auto"/>
          <w:kern w:val="2"/>
          <w:sz w:val="22"/>
          <w:szCs w:val="22"/>
          <w:lang w:val="es-ES" w:eastAsia="zh-CN" w:bidi="hi-IN"/>
        </w:rPr>
        <w:t xml:space="preserve">entidades en el mundo que pueden llegar a ser conocidas por el ser humano. El conocimiento de estas entidades exige un tipo de ceguera, es decir, una visión “sin inferencias o interpretaciones” (Daston &amp; Galison, 2007, p. 17), arropada con una modestia epistemológica que erradique cualquier signo de subjetividad. Para Daston y Galison (2007), este ideal fue alcanzado con el automatismo de las máquinas, en una época caracterizada por la ‘objetividad mecánica’. En cuanto a lo que este artículo propone discutir, la clasificación algorítmica pretende categorizar, por medio de algoritmos supuestamente neutrales, ciertas entidades existentes en el mundo (en este caso los rasgos corporales que funcionan como pistas para el sistema de clasificación), vinculándolas con prejuicios propios de la colonialidad. </w:t>
      </w:r>
    </w:p>
    <w:p>
      <w:pPr>
        <w:pStyle w:val="Normal"/>
        <w:bidi w:val="0"/>
        <w:spacing w:lineRule="auto" w:line="276"/>
        <w:jc w:val="both"/>
        <w:rPr>
          <w:rFonts w:ascii="Arial" w:hAnsi="Arial" w:eastAsia="Songti SC" w:cs="Arial Unicode MS"/>
          <w:b w:val="false"/>
          <w:b w:val="false"/>
          <w:bCs w:val="false"/>
          <w:color w:val="auto"/>
          <w:kern w:val="2"/>
          <w:sz w:val="22"/>
          <w:szCs w:val="22"/>
          <w:lang w:val="es-ES" w:eastAsia="zh-CN" w:bidi="hi-IN"/>
        </w:rPr>
      </w:pPr>
      <w:r>
        <w:rPr>
          <w:rFonts w:eastAsia="Songti SC" w:cs="Arial Unicode MS" w:ascii="Arial" w:hAnsi="Arial"/>
          <w:b w:val="false"/>
          <w:bCs w:val="false"/>
          <w:color w:val="auto"/>
          <w:kern w:val="2"/>
          <w:sz w:val="22"/>
          <w:szCs w:val="22"/>
          <w:lang w:val="es-ES" w:eastAsia="zh-CN" w:bidi="hi-IN"/>
        </w:rPr>
      </w:r>
    </w:p>
    <w:p>
      <w:pPr>
        <w:pStyle w:val="Normal"/>
        <w:bidi w:val="0"/>
        <w:spacing w:lineRule="auto" w:line="276"/>
        <w:ind w:left="567" w:right="0" w:hanging="0"/>
        <w:jc w:val="both"/>
        <w:rPr/>
      </w:pPr>
      <w:r>
        <w:rPr>
          <w:rStyle w:val="Emphasis"/>
          <w:rFonts w:eastAsia="Songti SC" w:cs="Arial Unicode MS" w:ascii="Arial" w:hAnsi="Arial"/>
          <w:b w:val="false"/>
          <w:bCs w:val="false"/>
          <w:i w:val="false"/>
          <w:iCs w:val="false"/>
          <w:color w:val="auto"/>
          <w:kern w:val="2"/>
          <w:sz w:val="22"/>
          <w:szCs w:val="22"/>
          <w:lang w:val="es-ES" w:eastAsia="zh-CN" w:bidi="hi-IN"/>
        </w:rPr>
        <w:t>De esta manera, la clasificación, que es un ejercicio de poder, se legitima por la neutralidad del orden que impone, asentado en una versión objetivista del mundo en donde cada rasgo clasificado se corresponde ‘naturalmente’ con las categorías mentales de quienes ejercen el poder de clasificación. La neutralidad de estas categorías es asegurada por el juzgamiento algorítmico, considerado especialmente apto debido a su automatismo. ¿Cómo se vincula esta clasificación objetivista con la discriminación colonial?”</w:t>
      </w:r>
    </w:p>
    <w:p>
      <w:pPr>
        <w:pStyle w:val="Normal"/>
        <w:bidi w:val="0"/>
        <w:spacing w:lineRule="auto" w:line="276"/>
        <w:ind w:left="567" w:right="0" w:hanging="0"/>
        <w:jc w:val="both"/>
        <w:rPr>
          <w:rStyle w:val="Emphasis"/>
          <w:rFonts w:ascii="Arial" w:hAnsi="Arial" w:eastAsia="Songti SC" w:cs="Arial Unicode MS"/>
          <w:b w:val="false"/>
          <w:b w:val="false"/>
          <w:bCs w:val="false"/>
          <w:i w:val="false"/>
          <w:i w:val="false"/>
          <w:iCs w:val="false"/>
          <w:color w:val="auto"/>
          <w:kern w:val="2"/>
          <w:sz w:val="22"/>
          <w:szCs w:val="22"/>
          <w:lang w:val="es-ES" w:eastAsia="zh-CN" w:bidi="hi-IN"/>
        </w:rPr>
      </w:pPr>
      <w:r>
        <w:rPr>
          <w:rFonts w:eastAsia="Songti SC" w:cs="Arial Unicode MS" w:ascii="Arial" w:hAnsi="Arial"/>
          <w:b w:val="false"/>
          <w:bCs w:val="false"/>
          <w:i w:val="false"/>
          <w:iCs w:val="false"/>
          <w:color w:val="auto"/>
          <w:kern w:val="2"/>
          <w:sz w:val="22"/>
          <w:szCs w:val="22"/>
          <w:lang w:val="es-ES" w:eastAsia="zh-CN" w:bidi="hi-IN"/>
        </w:rPr>
      </w:r>
    </w:p>
    <w:p>
      <w:pPr>
        <w:pStyle w:val="Normal"/>
        <w:bidi w:val="0"/>
        <w:spacing w:lineRule="auto" w:line="276"/>
        <w:ind w:left="567" w:right="0" w:hanging="0"/>
        <w:jc w:val="both"/>
        <w:rPr/>
      </w:pPr>
      <w:r>
        <w:rPr>
          <w:rStyle w:val="Emphasis"/>
          <w:rFonts w:eastAsia="Songti SC" w:cs="Arial Unicode MS" w:ascii="Arial" w:hAnsi="Arial"/>
          <w:b w:val="false"/>
          <w:bCs w:val="false"/>
          <w:i w:val="false"/>
          <w:iCs w:val="false"/>
          <w:color w:val="auto"/>
          <w:kern w:val="2"/>
          <w:sz w:val="22"/>
          <w:szCs w:val="22"/>
          <w:lang w:val="es-ES" w:eastAsia="zh-CN" w:bidi="hi-IN"/>
        </w:rPr>
        <w:t>En cuanto al concepto de discriminación que se nombra en este comentario creí entonces necesario incluir un pequeño pasaje haciendo referencia a la definición que se emplea a lo largo del artículo. Así, en el párrafo final de la introducción añadí lo siguiente:</w:t>
      </w:r>
    </w:p>
    <w:p>
      <w:pPr>
        <w:pStyle w:val="Normal"/>
        <w:bidi w:val="0"/>
        <w:spacing w:lineRule="auto" w:line="276"/>
        <w:ind w:left="567" w:right="0" w:hanging="0"/>
        <w:jc w:val="both"/>
        <w:rPr>
          <w:rStyle w:val="Emphasis"/>
          <w:rFonts w:ascii="Arial" w:hAnsi="Arial" w:eastAsia="Songti SC" w:cs="Arial Unicode MS"/>
          <w:b w:val="false"/>
          <w:b w:val="false"/>
          <w:bCs w:val="false"/>
          <w:i w:val="false"/>
          <w:i w:val="false"/>
          <w:iCs w:val="false"/>
          <w:color w:val="auto"/>
          <w:kern w:val="2"/>
          <w:sz w:val="22"/>
          <w:szCs w:val="22"/>
          <w:lang w:val="es-ES" w:eastAsia="zh-CN" w:bidi="hi-IN"/>
        </w:rPr>
      </w:pPr>
      <w:r>
        <w:rPr>
          <w:rFonts w:eastAsia="Songti SC" w:cs="Arial Unicode MS" w:ascii="Arial" w:hAnsi="Arial"/>
          <w:b w:val="false"/>
          <w:bCs w:val="false"/>
          <w:i w:val="false"/>
          <w:iCs w:val="false"/>
          <w:color w:val="auto"/>
          <w:kern w:val="2"/>
          <w:sz w:val="22"/>
          <w:szCs w:val="22"/>
          <w:lang w:val="es-ES" w:eastAsia="zh-CN" w:bidi="hi-IN"/>
        </w:rPr>
      </w:r>
    </w:p>
    <w:p>
      <w:pPr>
        <w:pStyle w:val="Normal"/>
        <w:bidi w:val="0"/>
        <w:spacing w:lineRule="auto" w:line="276"/>
        <w:ind w:left="567" w:right="0" w:hanging="0"/>
        <w:jc w:val="both"/>
        <w:rPr/>
      </w:pPr>
      <w:r>
        <w:rPr>
          <w:rStyle w:val="Emphasis"/>
          <w:rFonts w:eastAsia="Songti SC" w:cs="Arial Unicode MS" w:ascii="Arial" w:hAnsi="Arial"/>
          <w:b w:val="false"/>
          <w:bCs w:val="false"/>
          <w:i w:val="false"/>
          <w:iCs w:val="false"/>
          <w:color w:val="auto"/>
          <w:kern w:val="2"/>
          <w:sz w:val="22"/>
          <w:szCs w:val="22"/>
          <w:lang w:val="es-ES" w:eastAsia="zh-CN" w:bidi="hi-IN"/>
        </w:rPr>
        <w:t>“</w:t>
      </w:r>
      <w:r>
        <w:rPr>
          <w:rStyle w:val="Emphasis"/>
          <w:rFonts w:eastAsia="Songti SC" w:cs="Arial Unicode MS" w:ascii="Arial" w:hAnsi="Arial"/>
          <w:b w:val="false"/>
          <w:bCs w:val="false"/>
          <w:i w:val="false"/>
          <w:iCs w:val="false"/>
          <w:color w:val="auto"/>
          <w:kern w:val="2"/>
          <w:sz w:val="22"/>
          <w:szCs w:val="22"/>
          <w:lang w:val="es-ES" w:eastAsia="zh-CN" w:bidi="hi-IN"/>
        </w:rPr>
        <w:t>Este artículo aborda, a partir de la propuesta artística de las obras de arte escogidas, el núcleo de estas preguntas, formulando algunas hipótesis que pretenden explicar por qué el funcionamiento de la visión algorítmica (Celis, 2020) reproduce un tipo de discriminación, –entendida como una vulnerabilidad a la dominación y opresión por cuestiones de raza, clase, sexo, o etnia (Altman, 2020)–, en aplicaciones funcionales destinadas principalmente a la vigilancia y el control social.”</w:t>
      </w:r>
    </w:p>
    <w:p>
      <w:pPr>
        <w:pStyle w:val="Normal"/>
        <w:bidi w:val="0"/>
        <w:spacing w:lineRule="auto" w:line="276"/>
        <w:ind w:left="567" w:right="0" w:hanging="0"/>
        <w:jc w:val="left"/>
        <w:rPr>
          <w:rStyle w:val="Emphasis"/>
          <w:rFonts w:ascii="Arial" w:hAnsi="Arial" w:eastAsia="Songti SC" w:cs="Arial Unicode MS"/>
          <w:b w:val="false"/>
          <w:b w:val="false"/>
          <w:bCs w:val="false"/>
          <w:i w:val="false"/>
          <w:i w:val="false"/>
          <w:iCs w:val="false"/>
          <w:color w:val="000000"/>
          <w:kern w:val="2"/>
          <w:sz w:val="22"/>
          <w:szCs w:val="22"/>
          <w:lang w:val="es-ES" w:eastAsia="zh-CN" w:bidi="hi-IN"/>
        </w:rPr>
      </w:pPr>
      <w:r>
        <w:rPr>
          <w:rFonts w:eastAsia="Songti SC" w:cs="Arial Unicode MS" w:ascii="Arial" w:hAnsi="Arial"/>
          <w:b w:val="false"/>
          <w:bCs w:val="false"/>
          <w:i w:val="false"/>
          <w:iCs w:val="false"/>
          <w:color w:val="000000"/>
          <w:kern w:val="2"/>
          <w:sz w:val="22"/>
          <w:szCs w:val="22"/>
          <w:lang w:val="es-ES" w:eastAsia="zh-CN" w:bidi="hi-IN"/>
        </w:rPr>
      </w:r>
    </w:p>
    <w:p>
      <w:pPr>
        <w:pStyle w:val="Normal"/>
        <w:bidi w:val="0"/>
        <w:spacing w:lineRule="auto" w:line="276"/>
        <w:ind w:left="567" w:right="0" w:hanging="0"/>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Sobre las otras partes del comentario, debo decir que no creo que este sea el espacio para definir ‘profundamente’ otros conceptos, como el de estética o el de lógica de lo cuantitativo. El concepto de estética es empleado según su definición común, lo cual para mí no amerita una definición explícita ni profunda; en cuanto al de la lógica de lo cuantitativo, que puede estar relaciona con el artículo, creo que no hay que meterse en esas honduras, ya que al hablar de lo cuantitativo me refiero simplemente a lo que se puede contar, es decir, en su relación con las matemáticas y, específicamente con la estadística, en cuanto ciencias que se supone que son neutrales, así como los resultados que producen. Creo que el concepto de lo cuantitativo se puede entender sin dificultad, así como la relación que este artículo pretende sugerir entre lo cuantitativo y la neutralidad u objetividad de la clasificación algorítmica, realizada por medio de cálculos matemáticos y estadísticos.</w:t>
      </w:r>
    </w:p>
    <w:p>
      <w:pPr>
        <w:pStyle w:val="Normal"/>
        <w:bidi w:val="0"/>
        <w:spacing w:lineRule="auto" w:line="276"/>
        <w:jc w:val="left"/>
        <w:rPr>
          <w:rFonts w:ascii="Arial" w:hAnsi="Arial" w:eastAsia="Songti SC" w:cs="Arial Unicode MS"/>
          <w:b w:val="false"/>
          <w:b w:val="false"/>
          <w:bCs w:val="false"/>
          <w:i w:val="false"/>
          <w:i w:val="false"/>
          <w:iCs w:val="false"/>
          <w:color w:val="000000"/>
          <w:kern w:val="2"/>
          <w:sz w:val="22"/>
          <w:szCs w:val="22"/>
          <w:lang w:val="es-ES" w:eastAsia="zh-CN" w:bidi="hi-IN"/>
        </w:rPr>
      </w:pPr>
      <w:r>
        <w:rPr>
          <w:rFonts w:eastAsia="Songti SC" w:cs="Arial Unicode MS" w:ascii="Arial" w:hAnsi="Arial"/>
          <w:b w:val="false"/>
          <w:bCs w:val="false"/>
          <w:i w:val="false"/>
          <w:iCs w:val="false"/>
          <w:color w:val="000000"/>
          <w:kern w:val="2"/>
          <w:sz w:val="22"/>
          <w:szCs w:val="22"/>
          <w:lang w:val="es-ES" w:eastAsia="zh-CN" w:bidi="hi-IN"/>
        </w:rPr>
      </w:r>
    </w:p>
    <w:p>
      <w:pPr>
        <w:pStyle w:val="Normal"/>
        <w:bidi w:val="0"/>
        <w:spacing w:lineRule="auto" w:line="276"/>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5. Un comentario dice: “sería bueno agregar un caso concreto que pruebe, por ejemplo, la discriminación de la que se habla a lo largo del texto. El artista Zach Blas, en este video, menciona un experimento llevado a cabo con reconocimiento facial”</w:t>
      </w:r>
    </w:p>
    <w:p>
      <w:pPr>
        <w:pStyle w:val="Normal"/>
        <w:widowControl/>
        <w:suppressAutoHyphens w:val="true"/>
        <w:bidi w:val="0"/>
        <w:spacing w:lineRule="auto" w:line="276" w:before="0" w:after="0"/>
        <w:ind w:left="510" w:right="0" w:hanging="0"/>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 xml:space="preserve">Rta:/ La referencia a la obra de Blas fue incorporada al texto. Creo que es un buen ejemplo para ilustrar la discriminación por el reconocimiento facial por cuestiones de género; sin embargo, el artículo tiene varios casos concretos en donde se muestra la discriminación de la visión algorítmica. Casi que cada referencia a obras de arte aborda el problema de la discriminación, así que, incluyendo el ejemplo sugerido, el artículo cuenta con suficientes casos para ilustrar el argumento de la discriminación. El texto añadido, después de la cita de Preciado sobre la obra de </w:t>
      </w:r>
      <w:r>
        <w:rPr>
          <w:rStyle w:val="StrongEmphasis"/>
          <w:rFonts w:eastAsia="Songti SC" w:cs="Arial Unicode MS" w:ascii="Arial" w:hAnsi="Arial"/>
          <w:b w:val="false"/>
          <w:bCs w:val="false"/>
          <w:i w:val="false"/>
          <w:iCs w:val="false"/>
          <w:caps w:val="false"/>
          <w:smallCaps w:val="false"/>
          <w:color w:val="000000"/>
          <w:spacing w:val="0"/>
          <w:kern w:val="2"/>
          <w:sz w:val="22"/>
          <w:szCs w:val="22"/>
          <w:highlight w:val="white"/>
          <w:lang w:val="es-ES" w:eastAsia="zh-CN" w:bidi="hi-IN"/>
        </w:rPr>
        <w:t>Shu Lea Cheang,</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fue el siguiente:</w:t>
      </w:r>
    </w:p>
    <w:p>
      <w:pPr>
        <w:pStyle w:val="Normal"/>
        <w:widowControl/>
        <w:suppressAutoHyphens w:val="true"/>
        <w:bidi w:val="0"/>
        <w:spacing w:lineRule="auto" w:line="276" w:before="0" w:after="0"/>
        <w:ind w:left="510" w:right="0" w:hanging="0"/>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w:t>
      </w:r>
      <w:r>
        <w:rPr>
          <w:rStyle w:val="StrongEmphasis"/>
          <w:rFonts w:eastAsia="Songti SC" w:cs="Arial Unicode MS" w:ascii="Arial" w:hAnsi="Arial"/>
          <w:b w:val="false"/>
          <w:bCs w:val="false"/>
          <w:i w:val="false"/>
          <w:iCs w:val="false"/>
          <w:caps w:val="false"/>
          <w:smallCaps w:val="false"/>
          <w:color w:val="000000"/>
          <w:spacing w:val="0"/>
          <w:kern w:val="2"/>
          <w:sz w:val="22"/>
          <w:szCs w:val="22"/>
          <w:highlight w:val="white"/>
          <w:lang w:val="es-ES" w:eastAsia="zh-CN" w:bidi="hi-IN"/>
        </w:rPr>
        <w:t>El naturalismo que supone la clasificación objetivista entre rasgos corporales y presunciones epistemológicas es críticamente analizado por  Zach Blas en su obra Facial Weaponization Suite (2014). Con la creación de diferentes máscaras a partir de los datos biométricos de personas históricamente discriminadas por género, raza u origen, Blas logra poner en suspenso la clasificación de la visión algorítmica, al tiempo que convierte estos datos en “herramientas opacas de transformación colectiva” (Blas, 2012), invirtiendo las relaciones de poder al aprovechar los datos para resistir y poner en cuestión esa discriminación.”</w:t>
      </w:r>
    </w:p>
    <w:p>
      <w:pPr>
        <w:pStyle w:val="Normal"/>
        <w:bidi w:val="0"/>
        <w:spacing w:lineRule="auto" w:line="276"/>
        <w:jc w:val="left"/>
        <w:rPr>
          <w:rFonts w:ascii="Arial" w:hAnsi="Arial" w:eastAsia="Songti SC" w:cs="Arial Unicode MS"/>
          <w:b w:val="false"/>
          <w:b w:val="false"/>
          <w:bCs w:val="false"/>
          <w:i w:val="false"/>
          <w:i w:val="false"/>
          <w:iCs w:val="false"/>
          <w:color w:val="000000"/>
          <w:kern w:val="2"/>
          <w:sz w:val="22"/>
          <w:szCs w:val="22"/>
          <w:lang w:val="es-ES" w:eastAsia="zh-CN" w:bidi="hi-IN"/>
        </w:rPr>
      </w:pPr>
      <w:r>
        <w:rPr>
          <w:rFonts w:eastAsia="Songti SC" w:cs="Arial Unicode MS" w:ascii="Arial" w:hAnsi="Arial"/>
          <w:b w:val="false"/>
          <w:bCs w:val="false"/>
          <w:i w:val="false"/>
          <w:iCs w:val="false"/>
          <w:color w:val="000000"/>
          <w:kern w:val="2"/>
          <w:sz w:val="22"/>
          <w:szCs w:val="22"/>
          <w:lang w:val="es-ES" w:eastAsia="zh-CN" w:bidi="hi-IN"/>
        </w:rPr>
      </w:r>
    </w:p>
    <w:p>
      <w:pPr>
        <w:pStyle w:val="Normal"/>
        <w:bidi w:val="0"/>
        <w:spacing w:lineRule="auto" w:line="276"/>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6. Otro comentario: “Se extraña, también menciones a otros autores afines a Lombroso como Galton o Berthillon.”</w:t>
      </w:r>
    </w:p>
    <w:p>
      <w:pPr>
        <w:pStyle w:val="Normal"/>
        <w:widowControl/>
        <w:suppressAutoHyphens w:val="true"/>
        <w:bidi w:val="0"/>
        <w:spacing w:lineRule="auto" w:line="276" w:before="0" w:after="0"/>
        <w:ind w:left="624" w:right="0" w:hanging="0"/>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Rta:/ El comentario es cierto, pero los límites del texto impiden ahondar en aspectos importantes pero no tan esenciales para el argumento propuesto. Sinb embargo, creí necesario incluir una referencia a Galton porque me pareció n que ayudaba a reforzar el pasaje del que habla el comentario. El párrafo incluido es el siguiente:</w:t>
      </w:r>
    </w:p>
    <w:p>
      <w:pPr>
        <w:pStyle w:val="Normal"/>
        <w:widowControl/>
        <w:suppressAutoHyphens w:val="true"/>
        <w:bidi w:val="0"/>
        <w:spacing w:lineRule="auto" w:line="276" w:before="0" w:after="0"/>
        <w:ind w:left="624" w:right="0" w:hanging="0"/>
        <w:jc w:val="left"/>
        <w:rPr>
          <w:rStyle w:val="Emphasis"/>
          <w:rFonts w:ascii="Arial" w:hAnsi="Arial" w:eastAsia="Songti SC" w:cs="Arial Unicode MS"/>
          <w:b w:val="false"/>
          <w:b w:val="false"/>
          <w:bCs w:val="false"/>
          <w:i w:val="false"/>
          <w:i w:val="false"/>
          <w:iCs w:val="false"/>
          <w:color w:val="000000"/>
          <w:kern w:val="2"/>
          <w:sz w:val="22"/>
          <w:szCs w:val="22"/>
          <w:lang w:val="es-ES" w:eastAsia="zh-CN" w:bidi="hi-IN"/>
        </w:rPr>
      </w:pPr>
      <w:r>
        <w:rPr>
          <w:rFonts w:eastAsia="Songti SC" w:cs="Arial Unicode MS" w:ascii="Arial" w:hAnsi="Arial"/>
          <w:b w:val="false"/>
          <w:bCs w:val="false"/>
          <w:i w:val="false"/>
          <w:iCs w:val="false"/>
          <w:color w:val="000000"/>
          <w:kern w:val="2"/>
          <w:sz w:val="22"/>
          <w:szCs w:val="22"/>
          <w:lang w:val="es-ES" w:eastAsia="zh-CN" w:bidi="hi-IN"/>
        </w:rPr>
      </w:r>
    </w:p>
    <w:p>
      <w:pPr>
        <w:pStyle w:val="Normal"/>
        <w:widowControl/>
        <w:suppressAutoHyphens w:val="true"/>
        <w:bidi w:val="0"/>
        <w:spacing w:lineRule="auto" w:line="276" w:before="0" w:after="0"/>
        <w:ind w:left="624" w:right="0" w:hanging="0"/>
        <w:jc w:val="both"/>
        <w:rPr/>
      </w:pP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Es famoso el proyecto de Francis Galton, quien pretendía identificar las “proclividades grupales subyacentes”. Galton buscaba la ‘media estadística’ de los rasgos corporales distintivos, es decir, el “reconocimiento de patrones” comunes a todo delincuente, adelantándose casi un siglo a los actuales modelos de aprendizaje de máquina. Aquí, el aparato fotográfico se impuso gracias a su “precisión mecánica” y su “amalgamación automatizada” (Daston &amp; Galison, 2007, p. 168), de tal manera que los “asesinos o ladrones violentos podrían ser puestos bajo el foco para que el asesino arquetípico apareciera ante nuestros ojos.” (2007, 169). Su evidente racismo (Challis, 2013) creyó ver unas entidades objetivamente existentes en las personas discriminadas por sus rasgos físicos, potencialmente perceptibles, y sin rastros de subjetividad, gracias a la ‘objetividad mecánica’ de la fotografía.”</w:t>
      </w:r>
    </w:p>
    <w:p>
      <w:pPr>
        <w:pStyle w:val="Normal"/>
        <w:bidi w:val="0"/>
        <w:spacing w:lineRule="auto" w:line="276"/>
        <w:jc w:val="left"/>
        <w:rPr>
          <w:rFonts w:ascii="Arial" w:hAnsi="Arial" w:eastAsia="Songti SC" w:cs="Arial Unicode MS"/>
          <w:b w:val="false"/>
          <w:b w:val="false"/>
          <w:bCs w:val="false"/>
          <w:i w:val="false"/>
          <w:i w:val="false"/>
          <w:iCs w:val="false"/>
          <w:color w:val="000000"/>
          <w:kern w:val="2"/>
          <w:sz w:val="22"/>
          <w:szCs w:val="22"/>
          <w:lang w:val="es-ES" w:eastAsia="zh-CN" w:bidi="hi-IN"/>
        </w:rPr>
      </w:pPr>
      <w:r>
        <w:rPr>
          <w:rFonts w:eastAsia="Songti SC" w:cs="Arial Unicode MS" w:ascii="Arial" w:hAnsi="Arial"/>
          <w:b w:val="false"/>
          <w:bCs w:val="false"/>
          <w:i w:val="false"/>
          <w:iCs w:val="false"/>
          <w:color w:val="000000"/>
          <w:kern w:val="2"/>
          <w:sz w:val="22"/>
          <w:szCs w:val="22"/>
          <w:lang w:val="es-ES" w:eastAsia="zh-CN" w:bidi="hi-IN"/>
        </w:rPr>
      </w:r>
    </w:p>
    <w:p>
      <w:pPr>
        <w:pStyle w:val="Normal"/>
        <w:bidi w:val="0"/>
        <w:spacing w:lineRule="auto" w:line="276"/>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7. Otro comentario: “En la pág. 10 se separan demasiado estado, mercado y policía, siendo que actualmente actúan de forma más bien mancomunada. Pese a qué Foucault habla del Siglo XVII, no estaría demás mencionar que ahora así ocurre.”</w:t>
      </w:r>
    </w:p>
    <w:p>
      <w:pPr>
        <w:pStyle w:val="Normal"/>
        <w:widowControl/>
        <w:suppressAutoHyphens w:val="true"/>
        <w:bidi w:val="0"/>
        <w:spacing w:lineRule="auto" w:line="276" w:before="0" w:after="0"/>
        <w:ind w:left="680" w:right="0" w:hanging="0"/>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Rta:/ Aunque a mi parecer no hay tal separación en el pasaje al que se refiere el comentario, decidí modificarlo y añadir un breve texto que puede aclarar estas relaciones:</w:t>
      </w:r>
    </w:p>
    <w:p>
      <w:pPr>
        <w:pStyle w:val="Normal"/>
        <w:widowControl/>
        <w:suppressAutoHyphens w:val="true"/>
        <w:bidi w:val="0"/>
        <w:spacing w:lineRule="auto" w:line="276" w:before="0" w:after="0"/>
        <w:ind w:left="680" w:right="0" w:hanging="0"/>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En sus investigaciones, Foucault resalta la necesidad del soberano de conocer los elementos de los que se compone el Estado en plena expansión del mercado capitalista, a saber, “un conocimiento de las cosas más que un conocimiento de la ley, y las cosas que el soberano debe conocer (...) son precisamente lo que en la época se llama ‘estadística’.” (Foucault, 2006, p. 320).  El papel de la naciente policía, desde el siglo XVII, es fundamental a este respecto: “la policía será el cálculo y la técnica que van a permitir establecer una relación (...) entre el orden interior del Estado y el crecimiento de sus fuerzas.” (2006, p. 357). ¿Cómo se establece la estadística? “Justamente a través de la policía (…). La policía hace necesaria la estadística, pero también la hace posible.” Tanto en la época clásica de la modernidad como en nuestros días, Estado, mercado y policía constituyen el entrelazamiento de un esfuerzo conjunto por el mantenimiento del orden a partir de la estadística.”</w:t>
      </w:r>
    </w:p>
    <w:p>
      <w:pPr>
        <w:pStyle w:val="Normal"/>
        <w:bidi w:val="0"/>
        <w:spacing w:lineRule="auto" w:line="276"/>
        <w:jc w:val="left"/>
        <w:rPr>
          <w:rFonts w:ascii="Arial" w:hAnsi="Arial" w:eastAsia="Songti SC" w:cs="Arial Unicode MS"/>
          <w:b w:val="false"/>
          <w:b w:val="false"/>
          <w:bCs w:val="false"/>
          <w:i w:val="false"/>
          <w:i w:val="false"/>
          <w:iCs w:val="false"/>
          <w:color w:val="000000"/>
          <w:kern w:val="2"/>
          <w:sz w:val="22"/>
          <w:szCs w:val="22"/>
          <w:lang w:val="es-ES" w:eastAsia="zh-CN" w:bidi="hi-IN"/>
        </w:rPr>
      </w:pPr>
      <w:r>
        <w:rPr>
          <w:rFonts w:eastAsia="Songti SC" w:cs="Arial Unicode MS" w:ascii="Arial" w:hAnsi="Arial"/>
          <w:b w:val="false"/>
          <w:bCs w:val="false"/>
          <w:i w:val="false"/>
          <w:iCs w:val="false"/>
          <w:color w:val="000000"/>
          <w:kern w:val="2"/>
          <w:sz w:val="22"/>
          <w:szCs w:val="22"/>
          <w:lang w:val="es-ES" w:eastAsia="zh-CN" w:bidi="hi-IN"/>
        </w:rPr>
      </w:r>
    </w:p>
    <w:p>
      <w:pPr>
        <w:pStyle w:val="Normal"/>
        <w:bidi w:val="0"/>
        <w:spacing w:lineRule="auto" w:line="276"/>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8. Por último, se comenta lo siguiente: “Tendría ojo con el reduccionismo mecanicista de</w:t>
        <w:br/>
        <w:t>Preciado, para quien las fronteras entre naturaleza y cultura –o su total inexistencia– están sospechosamente claras.”</w:t>
      </w:r>
    </w:p>
    <w:p>
      <w:pPr>
        <w:pStyle w:val="Normal"/>
        <w:bidi w:val="0"/>
        <w:spacing w:lineRule="auto" w:line="276"/>
        <w:ind w:left="737" w:right="0" w:hanging="0"/>
        <w:jc w:val="left"/>
        <w:rPr/>
      </w:pPr>
      <w:r>
        <w:rPr>
          <w:rStyle w:val="Emphasis"/>
          <w:rFonts w:eastAsia="Songti SC" w:cs="Arial Unicode MS" w:ascii="Arial" w:hAnsi="Arial"/>
          <w:b w:val="false"/>
          <w:bCs w:val="false"/>
          <w:i w:val="false"/>
          <w:iCs w:val="false"/>
          <w:color w:val="000000"/>
          <w:kern w:val="2"/>
          <w:sz w:val="22"/>
          <w:szCs w:val="22"/>
          <w:lang w:val="es-ES" w:eastAsia="zh-CN" w:bidi="hi-IN"/>
        </w:rPr>
        <w:t>Rta:/ Entiendo que la postura de Preciado pueda ser debatible, pero en este caso empleo un texto muy limitado a la discusión sobre la percepción de la sexualidad y, sobre ello, la clasificación de la máquina. Así, aunque sería interesante poner a prueba las propuestas de Preciado, no creo que este sea el espacio, ya que las reflexiones aquí citadas funcionan para la mejor comprensión del argumento y no exigen adoptar la postura de Preciado en otros ámbitos que, aunque relacionados, desbordan los límites temáticos del artículo. Además, cuando se cita a Preciado, y éste hace referencia a la naturaleza, se cuestiona que se consideren naturales unas categorías que son precisamente construcciones culturales. No veo en esto un reduccionismo mecanicista; más bien, una distinción coherente con el argumento en torno al objetivismo de la clasificación algorítmica.  No veo entonces que las referencias a Preciado impliquen, o sugieran, estar de acuerdo con sus propuestas en torno a los límites entre naturaleza y cultura.</w:t>
        <w:tab/>
      </w:r>
    </w:p>
    <w:sectPr>
      <w:type w:val="nextPage"/>
      <w:pgSz w:w="12240" w:h="15840"/>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 w:name="Arial">
    <w:charset w:val="01"/>
    <w:family w:val="roman"/>
    <w:pitch w:val="variable"/>
  </w:font>
</w:fonts>
</file>

<file path=word/settings.xml><?xml version="1.0" encoding="utf-8"?>
<w:settings xmlns:w="http://schemas.openxmlformats.org/wordprocessingml/2006/main">
  <w:zoom w:percent="150"/>
  <w:defaultTabStop w:val="709"/>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ngti SC" w:cs="Arial Unicode MS"/>
        <w:kern w:val="2"/>
        <w:sz w:val="20"/>
        <w:szCs w:val="24"/>
        <w:lang w:val="es-E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Songti SC" w:cs="Arial Unicode MS"/>
      <w:color w:val="auto"/>
      <w:kern w:val="2"/>
      <w:sz w:val="24"/>
      <w:szCs w:val="24"/>
      <w:lang w:val="es-ES" w:eastAsia="zh-CN" w:bidi="hi-IN"/>
    </w:rPr>
  </w:style>
  <w:style w:type="character" w:styleId="Emphasis">
    <w:name w:val="Emphasis"/>
    <w:qFormat/>
    <w:rPr>
      <w:i/>
      <w:iCs/>
    </w:rPr>
  </w:style>
  <w:style w:type="character" w:styleId="StrongEmphasis">
    <w:name w:val="Strong Emphasis"/>
    <w:qFormat/>
    <w:rPr>
      <w:b/>
      <w:bCs/>
    </w:rPr>
  </w:style>
  <w:style w:type="paragraph" w:styleId="Heading">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125</TotalTime>
  <Application>LibreOffice/6.4.4.2$MacOSX_X86_64 LibreOffice_project/3d775be2011f3886db32dfd395a6a6d1ca2630ff</Application>
  <Pages>4</Pages>
  <Words>1924</Words>
  <Characters>10229</Characters>
  <CharactersWithSpaces>12137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2021-10-21T11:33:52Z</dcterms:created>
  <dc:creator/>
  <dc:description/>
  <dc:language>es-ES</dc:language>
  <cp:lastModifiedBy/>
  <dcterms:modified xsi:type="dcterms:W3CDTF">2021-10-29T19:16:26Z</dcterms:modified>
  <cp:revision>12</cp:revision>
  <dc:subject/>
  <dc:title/>
</cp:coreProperties>
</file>